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04"/>
        </w:tabs>
        <w:spacing w:before="72" w:line="360" w:lineRule="auto"/>
        <w:jc w:val="center"/>
        <w:rPr>
          <w:rStyle w:val="30"/>
          <w:rFonts w:ascii="Times New Roman" w:hAnsi="Times New Roman" w:eastAsia="黑体" w:cs="Times New Roman"/>
          <w:color w:val="333333"/>
          <w:sz w:val="36"/>
          <w:szCs w:val="36"/>
        </w:rPr>
      </w:pPr>
    </w:p>
    <w:p>
      <w:pPr>
        <w:tabs>
          <w:tab w:val="left" w:pos="704"/>
        </w:tabs>
        <w:spacing w:before="72" w:line="360" w:lineRule="auto"/>
        <w:jc w:val="center"/>
        <w:rPr>
          <w:rStyle w:val="30"/>
          <w:rFonts w:ascii="Times New Roman" w:hAnsi="Times New Roman" w:eastAsia="黑体" w:cs="Times New Roman"/>
          <w:color w:val="333333"/>
          <w:sz w:val="36"/>
          <w:szCs w:val="36"/>
        </w:rPr>
      </w:pPr>
      <w:bookmarkStart w:id="151" w:name="_GoBack"/>
      <w:bookmarkEnd w:id="151"/>
    </w:p>
    <w:p>
      <w:pPr>
        <w:tabs>
          <w:tab w:val="left" w:pos="704"/>
        </w:tabs>
        <w:spacing w:before="72" w:line="360" w:lineRule="auto"/>
        <w:jc w:val="center"/>
        <w:rPr>
          <w:rFonts w:ascii="Times New Roman" w:hAnsi="Times New Roman" w:eastAsia="黑体" w:cs="Times New Roman"/>
          <w:b/>
          <w:sz w:val="40"/>
          <w:szCs w:val="40"/>
          <w:u w:color="000000"/>
        </w:rPr>
      </w:pPr>
      <w:r>
        <w:rPr>
          <w:rStyle w:val="30"/>
          <w:rFonts w:ascii="Times New Roman" w:hAnsi="Times New Roman" w:eastAsia="黑体" w:cs="Times New Roman"/>
          <w:color w:val="333333"/>
          <w:sz w:val="40"/>
          <w:szCs w:val="40"/>
        </w:rPr>
        <w:t>中华人民共和国农业</w:t>
      </w:r>
      <w:r>
        <w:rPr>
          <w:rFonts w:ascii="Times New Roman" w:hAnsi="Times New Roman" w:eastAsia="黑体" w:cs="Times New Roman"/>
          <w:b/>
          <w:sz w:val="40"/>
          <w:szCs w:val="40"/>
          <w:u w:color="000000"/>
        </w:rPr>
        <w:t>行业标准</w:t>
      </w:r>
    </w:p>
    <w:p>
      <w:pPr>
        <w:tabs>
          <w:tab w:val="left" w:pos="704"/>
        </w:tabs>
        <w:spacing w:before="72" w:line="360" w:lineRule="auto"/>
        <w:jc w:val="center"/>
        <w:rPr>
          <w:rFonts w:ascii="Times New Roman" w:hAnsi="Times New Roman" w:eastAsia="黑体" w:cs="Times New Roman"/>
          <w:b/>
          <w:sz w:val="40"/>
          <w:szCs w:val="40"/>
          <w:u w:color="000000"/>
        </w:rPr>
      </w:pPr>
      <w:r>
        <w:rPr>
          <w:rFonts w:ascii="Times New Roman" w:hAnsi="Times New Roman" w:eastAsia="黑体" w:cs="Times New Roman"/>
          <w:b/>
          <w:sz w:val="40"/>
          <w:szCs w:val="40"/>
          <w:u w:color="000000"/>
        </w:rPr>
        <w:t>《苜蓿主要蓟马抗性评价技术规程》</w:t>
      </w:r>
    </w:p>
    <w:p>
      <w:pPr>
        <w:tabs>
          <w:tab w:val="left" w:pos="704"/>
        </w:tabs>
        <w:spacing w:before="72" w:line="360" w:lineRule="auto"/>
        <w:jc w:val="center"/>
        <w:rPr>
          <w:rFonts w:ascii="Times New Roman" w:hAnsi="Times New Roman" w:eastAsia="黑体" w:cs="Times New Roman"/>
          <w:b/>
          <w:sz w:val="36"/>
          <w:szCs w:val="36"/>
          <w:u w:color="000000"/>
        </w:rPr>
      </w:pPr>
      <w:r>
        <w:rPr>
          <w:rFonts w:ascii="Times New Roman" w:hAnsi="Times New Roman" w:eastAsia="黑体" w:cs="Times New Roman"/>
          <w:b/>
          <w:sz w:val="36"/>
          <w:szCs w:val="36"/>
          <w:u w:color="000000"/>
        </w:rPr>
        <w:t>（公开征求意见稿）</w:t>
      </w:r>
    </w:p>
    <w:p>
      <w:pPr>
        <w:tabs>
          <w:tab w:val="left" w:pos="704"/>
        </w:tabs>
        <w:spacing w:before="72" w:line="360" w:lineRule="auto"/>
        <w:jc w:val="center"/>
        <w:rPr>
          <w:rFonts w:ascii="Times New Roman" w:hAnsi="Times New Roman" w:eastAsia="黑体" w:cs="Times New Roman"/>
          <w:b/>
          <w:sz w:val="36"/>
          <w:szCs w:val="36"/>
          <w:u w:color="000000"/>
        </w:rPr>
      </w:pPr>
      <w:r>
        <w:rPr>
          <w:rFonts w:ascii="Times New Roman" w:hAnsi="Times New Roman" w:eastAsia="黑体" w:cs="Times New Roman"/>
          <w:b/>
          <w:sz w:val="36"/>
          <w:szCs w:val="36"/>
          <w:u w:color="000000"/>
        </w:rPr>
        <w:t>编制说明</w:t>
      </w:r>
    </w:p>
    <w:p>
      <w:pPr>
        <w:tabs>
          <w:tab w:val="left" w:pos="704"/>
        </w:tabs>
        <w:spacing w:before="72" w:line="360" w:lineRule="auto"/>
        <w:jc w:val="center"/>
        <w:rPr>
          <w:rFonts w:ascii="Times New Roman" w:hAnsi="Times New Roman" w:eastAsia="黑体" w:cs="Times New Roman"/>
          <w:b/>
          <w:sz w:val="36"/>
          <w:szCs w:val="36"/>
          <w:u w:color="000000"/>
        </w:rPr>
      </w:pPr>
    </w:p>
    <w:p>
      <w:pPr>
        <w:tabs>
          <w:tab w:val="left" w:pos="704"/>
        </w:tabs>
        <w:spacing w:before="72" w:line="360" w:lineRule="auto"/>
        <w:jc w:val="center"/>
        <w:rPr>
          <w:rFonts w:ascii="Times New Roman" w:hAnsi="Times New Roman" w:eastAsia="黑体" w:cs="Times New Roman"/>
          <w:b/>
          <w:sz w:val="36"/>
          <w:szCs w:val="36"/>
          <w:u w:color="000000"/>
        </w:rPr>
      </w:pPr>
    </w:p>
    <w:p>
      <w:pPr>
        <w:tabs>
          <w:tab w:val="left" w:pos="704"/>
        </w:tabs>
        <w:spacing w:before="72" w:line="360" w:lineRule="auto"/>
        <w:jc w:val="center"/>
        <w:rPr>
          <w:rFonts w:ascii="Times New Roman" w:hAnsi="Times New Roman" w:eastAsia="黑体" w:cs="Times New Roman"/>
          <w:b/>
          <w:sz w:val="36"/>
          <w:szCs w:val="36"/>
          <w:u w:color="000000"/>
        </w:rPr>
      </w:pPr>
    </w:p>
    <w:p>
      <w:pPr>
        <w:tabs>
          <w:tab w:val="left" w:pos="704"/>
        </w:tabs>
        <w:spacing w:before="72" w:line="360" w:lineRule="auto"/>
        <w:ind w:firstLine="723" w:firstLineChars="200"/>
        <w:rPr>
          <w:rFonts w:ascii="Times New Roman" w:hAnsi="Times New Roman" w:eastAsia="黑体" w:cs="Times New Roman"/>
          <w:b/>
          <w:sz w:val="36"/>
          <w:szCs w:val="36"/>
          <w:u w:color="000000"/>
        </w:rPr>
      </w:pPr>
    </w:p>
    <w:p>
      <w:pPr>
        <w:tabs>
          <w:tab w:val="left" w:pos="704"/>
        </w:tabs>
        <w:spacing w:before="72" w:line="360" w:lineRule="auto"/>
        <w:ind w:firstLine="723" w:firstLineChars="200"/>
        <w:rPr>
          <w:rFonts w:ascii="Times New Roman" w:hAnsi="Times New Roman" w:eastAsia="黑体" w:cs="Times New Roman"/>
          <w:b/>
          <w:sz w:val="36"/>
          <w:szCs w:val="36"/>
          <w:u w:color="000000"/>
        </w:rPr>
      </w:pPr>
    </w:p>
    <w:p>
      <w:pPr>
        <w:tabs>
          <w:tab w:val="left" w:pos="704"/>
        </w:tabs>
        <w:spacing w:before="72" w:line="360" w:lineRule="auto"/>
        <w:ind w:firstLine="723" w:firstLineChars="200"/>
        <w:rPr>
          <w:rFonts w:ascii="Times New Roman" w:hAnsi="Times New Roman" w:eastAsia="黑体" w:cs="Times New Roman"/>
          <w:b/>
          <w:sz w:val="36"/>
          <w:szCs w:val="36"/>
          <w:u w:color="000000"/>
        </w:rPr>
      </w:pPr>
    </w:p>
    <w:p>
      <w:pPr>
        <w:tabs>
          <w:tab w:val="left" w:pos="704"/>
        </w:tabs>
        <w:spacing w:before="72" w:line="360" w:lineRule="auto"/>
        <w:ind w:firstLine="723" w:firstLineChars="200"/>
        <w:rPr>
          <w:rFonts w:ascii="Times New Roman" w:hAnsi="Times New Roman" w:eastAsia="黑体" w:cs="Times New Roman"/>
          <w:b/>
          <w:sz w:val="36"/>
          <w:szCs w:val="36"/>
          <w:u w:color="000000"/>
        </w:rPr>
      </w:pPr>
    </w:p>
    <w:p>
      <w:pPr>
        <w:tabs>
          <w:tab w:val="left" w:pos="704"/>
        </w:tabs>
        <w:spacing w:before="72" w:line="360" w:lineRule="auto"/>
        <w:ind w:firstLine="723" w:firstLineChars="200"/>
        <w:rPr>
          <w:rFonts w:hint="eastAsia" w:ascii="Times New Roman" w:hAnsi="Times New Roman" w:eastAsia="黑体" w:cs="Times New Roman"/>
          <w:b/>
          <w:sz w:val="36"/>
          <w:szCs w:val="36"/>
          <w:u w:color="000000"/>
        </w:rPr>
      </w:pPr>
    </w:p>
    <w:p>
      <w:pPr>
        <w:tabs>
          <w:tab w:val="left" w:pos="704"/>
        </w:tabs>
        <w:spacing w:before="72" w:line="360" w:lineRule="auto"/>
        <w:ind w:firstLine="723" w:firstLineChars="200"/>
        <w:rPr>
          <w:rFonts w:ascii="Times New Roman" w:hAnsi="Times New Roman" w:eastAsia="黑体" w:cs="Times New Roman"/>
          <w:b/>
          <w:sz w:val="36"/>
          <w:szCs w:val="36"/>
          <w:u w:color="000000"/>
        </w:rPr>
      </w:pPr>
    </w:p>
    <w:p>
      <w:pPr>
        <w:tabs>
          <w:tab w:val="left" w:pos="704"/>
        </w:tabs>
        <w:spacing w:before="72" w:line="360" w:lineRule="auto"/>
        <w:ind w:firstLine="0" w:firstLineChars="0"/>
        <w:rPr>
          <w:rFonts w:hint="eastAsia" w:ascii="Times New Roman" w:hAnsi="Times New Roman" w:eastAsia="黑体" w:cs="Times New Roman"/>
          <w:b/>
          <w:sz w:val="36"/>
          <w:szCs w:val="36"/>
          <w:u w:color="000000"/>
        </w:rPr>
      </w:pPr>
      <w:r>
        <w:rPr>
          <w:rFonts w:ascii="Times New Roman" w:hAnsi="Times New Roman" w:eastAsia="黑体" w:cs="Times New Roman"/>
          <w:b/>
          <w:sz w:val="36"/>
          <w:szCs w:val="36"/>
          <w:u w:color="000000"/>
        </w:rPr>
        <w:t>承担单位：全国畜牧总站</w:t>
      </w:r>
      <w:r>
        <w:rPr>
          <w:rFonts w:hint="eastAsia" w:ascii="Times New Roman" w:hAnsi="Times New Roman" w:eastAsia="黑体" w:cs="Times New Roman"/>
          <w:b/>
          <w:sz w:val="36"/>
          <w:szCs w:val="36"/>
          <w:u w:color="000000"/>
        </w:rPr>
        <w:t>、</w:t>
      </w:r>
      <w:r>
        <w:rPr>
          <w:rFonts w:ascii="Times New Roman" w:hAnsi="Times New Roman" w:eastAsia="黑体" w:cs="Times New Roman"/>
          <w:b/>
          <w:sz w:val="36"/>
          <w:szCs w:val="36"/>
          <w:u w:color="000000"/>
        </w:rPr>
        <w:t>中国农业科学院植物保护研究所</w:t>
      </w:r>
      <w:r>
        <w:rPr>
          <w:rFonts w:hint="eastAsia" w:ascii="Times New Roman" w:hAnsi="Times New Roman" w:eastAsia="黑体" w:cs="Times New Roman"/>
          <w:b/>
          <w:sz w:val="36"/>
          <w:szCs w:val="36"/>
          <w:u w:color="000000"/>
        </w:rPr>
        <w:t>等</w:t>
      </w:r>
    </w:p>
    <w:p>
      <w:pPr>
        <w:tabs>
          <w:tab w:val="left" w:pos="704"/>
        </w:tabs>
        <w:spacing w:before="72" w:line="360" w:lineRule="auto"/>
        <w:ind w:firstLine="2530" w:firstLineChars="700"/>
        <w:rPr>
          <w:rFonts w:ascii="Times New Roman" w:hAnsi="Times New Roman" w:eastAsia="黑体" w:cs="Times New Roman"/>
          <w:b/>
          <w:sz w:val="36"/>
          <w:szCs w:val="36"/>
          <w:u w:color="000000"/>
        </w:rPr>
      </w:pPr>
    </w:p>
    <w:p>
      <w:pPr>
        <w:tabs>
          <w:tab w:val="left" w:pos="704"/>
        </w:tabs>
        <w:spacing w:before="72" w:line="360" w:lineRule="auto"/>
        <w:jc w:val="center"/>
        <w:rPr>
          <w:rFonts w:ascii="Times New Roman" w:hAnsi="Times New Roman" w:eastAsia="黑体" w:cs="Times New Roman"/>
          <w:b/>
          <w:sz w:val="36"/>
          <w:szCs w:val="36"/>
          <w:u w:color="000000"/>
        </w:rPr>
        <w:sectPr>
          <w:pgSz w:w="11906" w:h="16838"/>
          <w:pgMar w:top="1440" w:right="1800" w:bottom="1440" w:left="1800" w:header="851" w:footer="992" w:gutter="0"/>
          <w:cols w:space="425" w:num="1"/>
          <w:docGrid w:type="lines" w:linePitch="312" w:charSpace="0"/>
        </w:sectPr>
      </w:pPr>
      <w:r>
        <w:rPr>
          <w:rFonts w:ascii="Times New Roman" w:hAnsi="Times New Roman" w:eastAsia="黑体" w:cs="Times New Roman"/>
          <w:b/>
          <w:sz w:val="36"/>
          <w:szCs w:val="36"/>
          <w:u w:color="000000"/>
        </w:rPr>
        <w:t>二〇二二年四月</w:t>
      </w:r>
    </w:p>
    <w:sdt>
      <w:sdtPr>
        <w:rPr>
          <w:rFonts w:ascii="Times New Roman" w:hAnsi="Times New Roman" w:eastAsia="宋体" w:cs="Times New Roman"/>
          <w:sz w:val="32"/>
          <w:szCs w:val="32"/>
        </w:rPr>
        <w:id w:val="147470941"/>
        <w15:color w:val="DBDBDB"/>
        <w:docPartObj>
          <w:docPartGallery w:val="Table of Contents"/>
          <w:docPartUnique/>
        </w:docPartObj>
      </w:sdtPr>
      <w:sdtEndPr>
        <w:rPr>
          <w:rFonts w:ascii="Times New Roman" w:hAnsi="Times New Roman" w:eastAsia="宋体" w:cs="Times New Roman"/>
          <w:sz w:val="32"/>
          <w:szCs w:val="32"/>
        </w:rPr>
      </w:sdtEndPr>
      <w:sdtContent>
        <w:p>
          <w:pPr>
            <w:jc w:val="center"/>
            <w:rPr>
              <w:rFonts w:ascii="Times New Roman" w:hAnsi="Times New Roman" w:eastAsia="黑体" w:cs="Times New Roman"/>
              <w:sz w:val="32"/>
              <w:szCs w:val="32"/>
            </w:rPr>
          </w:pPr>
          <w:r>
            <w:rPr>
              <w:rFonts w:ascii="Times New Roman" w:hAnsi="Times New Roman" w:eastAsia="黑体" w:cs="Times New Roman"/>
              <w:sz w:val="32"/>
              <w:szCs w:val="32"/>
            </w:rPr>
            <w:t>目  录</w:t>
          </w:r>
        </w:p>
        <w:p>
          <w:pPr>
            <w:pStyle w:val="13"/>
            <w:tabs>
              <w:tab w:val="right" w:leader="dot" w:pos="8306"/>
            </w:tabs>
            <w:spacing w:line="360" w:lineRule="auto"/>
            <w:rPr>
              <w:rFonts w:ascii="Times New Roman" w:hAnsi="Times New Roman" w:eastAsia="宋体" w:cs="Times New Roman"/>
              <w:sz w:val="32"/>
              <w:szCs w:val="32"/>
            </w:rPr>
          </w:pP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TOC \o "1-3" \h \u </w:instrText>
          </w:r>
          <w:r>
            <w:rPr>
              <w:rFonts w:ascii="Times New Roman" w:hAnsi="Times New Roman" w:eastAsia="宋体" w:cs="Times New Roman"/>
              <w:sz w:val="32"/>
              <w:szCs w:val="32"/>
            </w:rPr>
            <w:fldChar w:fldCharType="separate"/>
          </w:r>
          <w:r>
            <w:fldChar w:fldCharType="begin"/>
          </w:r>
          <w:r>
            <w:instrText xml:space="preserve"> HYPERLINK \l "_Toc18834" </w:instrText>
          </w:r>
          <w:r>
            <w:fldChar w:fldCharType="separate"/>
          </w:r>
          <w:r>
            <w:rPr>
              <w:rFonts w:ascii="Times New Roman" w:hAnsi="Times New Roman" w:eastAsia="宋体" w:cs="Times New Roman"/>
              <w:sz w:val="32"/>
              <w:szCs w:val="32"/>
            </w:rPr>
            <w:t>一、标准制定背景及任务来源</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_Toc18834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1</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4"/>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"_Toc10301" </w:instrText>
          </w:r>
          <w:r>
            <w:fldChar w:fldCharType="separate"/>
          </w:r>
          <w:r>
            <w:rPr>
              <w:rFonts w:ascii="Times New Roman" w:hAnsi="Times New Roman" w:eastAsia="宋体" w:cs="Times New Roman"/>
              <w:sz w:val="32"/>
              <w:szCs w:val="32"/>
            </w:rPr>
            <w:t>（一）制定背景</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_Toc10301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1</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4"/>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"_Toc9642" </w:instrText>
          </w:r>
          <w:r>
            <w:fldChar w:fldCharType="separate"/>
          </w:r>
          <w:r>
            <w:rPr>
              <w:rFonts w:ascii="Times New Roman" w:hAnsi="Times New Roman" w:eastAsia="宋体" w:cs="Times New Roman"/>
              <w:sz w:val="32"/>
              <w:szCs w:val="32"/>
            </w:rPr>
            <w:t>（二）任务来源</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_Toc9642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3</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3"/>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"_Toc21130" </w:instrText>
          </w:r>
          <w:r>
            <w:fldChar w:fldCharType="separate"/>
          </w:r>
          <w:r>
            <w:rPr>
              <w:rFonts w:ascii="Times New Roman" w:hAnsi="Times New Roman" w:eastAsia="宋体" w:cs="Times New Roman"/>
              <w:sz w:val="32"/>
              <w:szCs w:val="32"/>
            </w:rPr>
            <w:t>二、主要工作过程</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_Toc21130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3</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4"/>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"_Toc18467" </w:instrText>
          </w:r>
          <w:r>
            <w:fldChar w:fldCharType="separate"/>
          </w:r>
          <w:r>
            <w:rPr>
              <w:rFonts w:ascii="Times New Roman" w:hAnsi="Times New Roman" w:eastAsia="宋体" w:cs="Times New Roman"/>
              <w:sz w:val="32"/>
              <w:szCs w:val="32"/>
            </w:rPr>
            <w:t>（一）成立起草工作组</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_Toc18467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3</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4"/>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"_Toc28568" </w:instrText>
          </w:r>
          <w:r>
            <w:fldChar w:fldCharType="separate"/>
          </w:r>
          <w:r>
            <w:rPr>
              <w:rFonts w:ascii="Times New Roman" w:hAnsi="Times New Roman" w:eastAsia="宋体" w:cs="Times New Roman"/>
              <w:sz w:val="32"/>
              <w:szCs w:val="32"/>
            </w:rPr>
            <w:t>（二）明确标准框架</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_Toc28568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4</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4"/>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"_Toc10663" </w:instrText>
          </w:r>
          <w:r>
            <w:fldChar w:fldCharType="separate"/>
          </w:r>
          <w:r>
            <w:rPr>
              <w:rFonts w:ascii="Times New Roman" w:hAnsi="Times New Roman" w:eastAsia="宋体" w:cs="Times New Roman"/>
              <w:sz w:val="32"/>
              <w:szCs w:val="32"/>
            </w:rPr>
            <w:t>（三）起草标准文本</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_Toc10663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4</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4"/>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"_Toc20128" </w:instrText>
          </w:r>
          <w:r>
            <w:fldChar w:fldCharType="separate"/>
          </w:r>
          <w:r>
            <w:rPr>
              <w:rFonts w:ascii="Times New Roman" w:hAnsi="Times New Roman" w:eastAsia="宋体" w:cs="Times New Roman"/>
              <w:sz w:val="32"/>
              <w:szCs w:val="32"/>
            </w:rPr>
            <w:t>（四）定向征求意见</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_Toc20128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5</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4"/>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"_Toc30967" </w:instrText>
          </w:r>
          <w:r>
            <w:fldChar w:fldCharType="separate"/>
          </w:r>
          <w:r>
            <w:rPr>
              <w:rFonts w:ascii="Times New Roman" w:hAnsi="Times New Roman" w:eastAsia="宋体" w:cs="Times New Roman"/>
              <w:sz w:val="32"/>
              <w:szCs w:val="32"/>
            </w:rPr>
            <w:t>（五）预审</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_Toc30967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5</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3"/>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"_Toc13853" </w:instrText>
          </w:r>
          <w:r>
            <w:fldChar w:fldCharType="separate"/>
          </w:r>
          <w:r>
            <w:rPr>
              <w:rFonts w:ascii="Times New Roman" w:hAnsi="Times New Roman" w:eastAsia="宋体" w:cs="Times New Roman"/>
              <w:sz w:val="32"/>
              <w:szCs w:val="32"/>
            </w:rPr>
            <w:t>三、标准编制原则和主要技术内容确定的依据</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_Toc13853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6</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4"/>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"_Toc29272" </w:instrText>
          </w:r>
          <w:r>
            <w:fldChar w:fldCharType="separate"/>
          </w:r>
          <w:r>
            <w:rPr>
              <w:rFonts w:ascii="Times New Roman" w:hAnsi="Times New Roman" w:eastAsia="宋体" w:cs="Times New Roman"/>
              <w:sz w:val="32"/>
              <w:szCs w:val="32"/>
            </w:rPr>
            <w:t>（一）标准编制原则</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_Toc29272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6</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4"/>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"_Toc10773" </w:instrText>
          </w:r>
          <w:r>
            <w:fldChar w:fldCharType="separate"/>
          </w:r>
          <w:r>
            <w:rPr>
              <w:rFonts w:ascii="Times New Roman" w:hAnsi="Times New Roman" w:eastAsia="宋体" w:cs="Times New Roman"/>
              <w:sz w:val="32"/>
              <w:szCs w:val="32"/>
            </w:rPr>
            <w:t>（二）主要技术内容确定的依据</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_Toc10773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7</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7"/>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"_Toc10049" </w:instrText>
          </w:r>
          <w:r>
            <w:fldChar w:fldCharType="separate"/>
          </w:r>
          <w:r>
            <w:rPr>
              <w:rFonts w:ascii="Times New Roman" w:hAnsi="Times New Roman" w:eastAsia="宋体" w:cs="Times New Roman"/>
              <w:sz w:val="32"/>
              <w:szCs w:val="32"/>
            </w:rPr>
            <w:t>1.术语和定义</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_Toc10049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7</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7"/>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"_Toc17794" </w:instrText>
          </w:r>
          <w:r>
            <w:fldChar w:fldCharType="separate"/>
          </w:r>
          <w:r>
            <w:rPr>
              <w:rFonts w:ascii="Times New Roman" w:hAnsi="Times New Roman" w:eastAsia="宋体" w:cs="Times New Roman"/>
              <w:sz w:val="32"/>
              <w:szCs w:val="32"/>
            </w:rPr>
            <w:t>2.试验田选择</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_Toc17794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8</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7"/>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"_Toc24739" </w:instrText>
          </w:r>
          <w:r>
            <w:fldChar w:fldCharType="separate"/>
          </w:r>
          <w:r>
            <w:rPr>
              <w:rFonts w:ascii="Times New Roman" w:hAnsi="Times New Roman" w:eastAsia="宋体" w:cs="Times New Roman"/>
              <w:sz w:val="32"/>
              <w:szCs w:val="32"/>
            </w:rPr>
            <w:t>3.田间管理</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_Toc24739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8</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7"/>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"_Toc18437" </w:instrText>
          </w:r>
          <w:r>
            <w:fldChar w:fldCharType="separate"/>
          </w:r>
          <w:r>
            <w:rPr>
              <w:rFonts w:ascii="Times New Roman" w:hAnsi="Times New Roman" w:eastAsia="宋体" w:cs="Times New Roman"/>
              <w:sz w:val="32"/>
              <w:szCs w:val="32"/>
            </w:rPr>
            <w:t>4.调查方法</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_Toc18437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9</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7"/>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"_Toc22593" </w:instrText>
          </w:r>
          <w:r>
            <w:fldChar w:fldCharType="separate"/>
          </w:r>
          <w:r>
            <w:rPr>
              <w:rFonts w:ascii="Times New Roman" w:hAnsi="Times New Roman" w:eastAsia="宋体" w:cs="Times New Roman"/>
              <w:sz w:val="32"/>
              <w:szCs w:val="32"/>
            </w:rPr>
            <w:t>5.抗性评价</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_Toc22593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11</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7"/>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"_Toc16982" </w:instrText>
          </w:r>
          <w:r>
            <w:fldChar w:fldCharType="separate"/>
          </w:r>
          <w:r>
            <w:rPr>
              <w:rFonts w:ascii="Times New Roman" w:hAnsi="Times New Roman" w:eastAsia="宋体" w:cs="Times New Roman"/>
              <w:sz w:val="32"/>
              <w:szCs w:val="32"/>
            </w:rPr>
            <w:t>6.证实方法</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_Toc16982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19</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7"/>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"_Toc10735" </w:instrText>
          </w:r>
          <w:r>
            <w:fldChar w:fldCharType="separate"/>
          </w:r>
          <w:r>
            <w:rPr>
              <w:rFonts w:ascii="Times New Roman" w:hAnsi="Times New Roman" w:eastAsia="宋体" w:cs="Times New Roman"/>
              <w:sz w:val="32"/>
              <w:szCs w:val="32"/>
            </w:rPr>
            <w:t>7.附录A</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_Toc10735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20</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7"/>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"_Toc24329" </w:instrText>
          </w:r>
          <w:r>
            <w:fldChar w:fldCharType="separate"/>
          </w:r>
          <w:r>
            <w:rPr>
              <w:rFonts w:ascii="Times New Roman" w:hAnsi="Times New Roman" w:eastAsia="宋体" w:cs="Times New Roman"/>
              <w:sz w:val="32"/>
              <w:szCs w:val="32"/>
            </w:rPr>
            <w:t>8.附录B</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_Toc24329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20</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3"/>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"_Toc9146" </w:instrText>
          </w:r>
          <w:r>
            <w:fldChar w:fldCharType="separate"/>
          </w:r>
          <w:r>
            <w:rPr>
              <w:rFonts w:ascii="Times New Roman" w:hAnsi="Times New Roman" w:eastAsia="宋体" w:cs="Times New Roman"/>
              <w:sz w:val="32"/>
              <w:szCs w:val="32"/>
            </w:rPr>
            <w:t>四、采用国际标准</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_Toc9146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20</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3"/>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"_Toc29343" </w:instrText>
          </w:r>
          <w:r>
            <w:fldChar w:fldCharType="separate"/>
          </w:r>
          <w:r>
            <w:rPr>
              <w:rFonts w:ascii="Times New Roman" w:hAnsi="Times New Roman" w:eastAsia="宋体" w:cs="Times New Roman"/>
              <w:sz w:val="32"/>
              <w:szCs w:val="32"/>
            </w:rPr>
            <w:t>五、与现行法律法规和强制性标准的关系</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_Toc29343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21</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3"/>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"_Toc5177" </w:instrText>
          </w:r>
          <w:r>
            <w:fldChar w:fldCharType="separate"/>
          </w:r>
          <w:r>
            <w:rPr>
              <w:rFonts w:ascii="Times New Roman" w:hAnsi="Times New Roman" w:eastAsia="宋体" w:cs="Times New Roman"/>
              <w:sz w:val="32"/>
              <w:szCs w:val="32"/>
            </w:rPr>
            <w:t>六、重大分歧意见的处理经过和依据</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_Toc5177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21</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3"/>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"_Toc5373" </w:instrText>
          </w:r>
          <w:r>
            <w:fldChar w:fldCharType="separate"/>
          </w:r>
          <w:r>
            <w:rPr>
              <w:rFonts w:ascii="Times New Roman" w:hAnsi="Times New Roman" w:eastAsia="宋体" w:cs="Times New Roman"/>
              <w:sz w:val="32"/>
              <w:szCs w:val="32"/>
            </w:rPr>
            <w:t>七、标准作为强制性或推荐性标准的意见</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_Toc5373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21</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3"/>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"_Toc28837" </w:instrText>
          </w:r>
          <w:r>
            <w:fldChar w:fldCharType="separate"/>
          </w:r>
          <w:r>
            <w:rPr>
              <w:rFonts w:ascii="Times New Roman" w:hAnsi="Times New Roman" w:eastAsia="宋体" w:cs="Times New Roman"/>
              <w:sz w:val="32"/>
              <w:szCs w:val="32"/>
            </w:rPr>
            <w:t>八、贯彻标准的要求和措施建议</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_Toc28837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21</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3"/>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"_Toc22465" </w:instrText>
          </w:r>
          <w:r>
            <w:fldChar w:fldCharType="separate"/>
          </w:r>
          <w:r>
            <w:rPr>
              <w:rFonts w:ascii="Times New Roman" w:hAnsi="Times New Roman" w:eastAsia="宋体" w:cs="Times New Roman"/>
              <w:sz w:val="32"/>
              <w:szCs w:val="32"/>
            </w:rPr>
            <w:t>九、废止现行有关标准的建议</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_Toc22465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21</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3"/>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"_Toc14436" </w:instrText>
          </w:r>
          <w:r>
            <w:fldChar w:fldCharType="separate"/>
          </w:r>
          <w:r>
            <w:rPr>
              <w:rFonts w:ascii="Times New Roman" w:hAnsi="Times New Roman" w:eastAsia="宋体" w:cs="Times New Roman"/>
              <w:sz w:val="32"/>
              <w:szCs w:val="32"/>
            </w:rPr>
            <w:t>十、其他应予说明的事项</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_Toc14436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22</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pStyle w:val="13"/>
            <w:tabs>
              <w:tab w:val="right" w:leader="dot" w:pos="8306"/>
            </w:tabs>
            <w:spacing w:line="360" w:lineRule="auto"/>
            <w:rPr>
              <w:rFonts w:ascii="Times New Roman" w:hAnsi="Times New Roman" w:eastAsia="宋体" w:cs="Times New Roman"/>
              <w:sz w:val="32"/>
              <w:szCs w:val="32"/>
            </w:rPr>
          </w:pPr>
          <w:r>
            <w:fldChar w:fldCharType="begin"/>
          </w:r>
          <w:r>
            <w:instrText xml:space="preserve"> HYPERLINK \l "_Toc2055" </w:instrText>
          </w:r>
          <w:r>
            <w:fldChar w:fldCharType="separate"/>
          </w:r>
          <w:r>
            <w:rPr>
              <w:rFonts w:ascii="Times New Roman" w:hAnsi="Times New Roman" w:eastAsia="宋体" w:cs="Times New Roman"/>
              <w:sz w:val="32"/>
              <w:szCs w:val="32"/>
            </w:rPr>
            <w:t>主要参考文献</w:t>
          </w:r>
          <w:r>
            <w:rPr>
              <w:rFonts w:ascii="Times New Roman" w:hAnsi="Times New Roman" w:eastAsia="宋体" w:cs="Times New Roman"/>
              <w:sz w:val="32"/>
              <w:szCs w:val="32"/>
            </w:rPr>
            <w:tab/>
          </w:r>
          <w:r>
            <w:rPr>
              <w:rFonts w:ascii="Times New Roman" w:hAnsi="Times New Roman" w:eastAsia="宋体" w:cs="Times New Roman"/>
              <w:sz w:val="32"/>
              <w:szCs w:val="32"/>
            </w:rPr>
            <w:fldChar w:fldCharType="begin"/>
          </w:r>
          <w:r>
            <w:rPr>
              <w:rFonts w:ascii="Times New Roman" w:hAnsi="Times New Roman" w:eastAsia="宋体" w:cs="Times New Roman"/>
              <w:sz w:val="32"/>
              <w:szCs w:val="32"/>
            </w:rPr>
            <w:instrText xml:space="preserve"> PAGEREF _Toc2055 \h </w:instrText>
          </w:r>
          <w:r>
            <w:rPr>
              <w:rFonts w:ascii="Times New Roman" w:hAnsi="Times New Roman" w:eastAsia="宋体" w:cs="Times New Roman"/>
              <w:sz w:val="32"/>
              <w:szCs w:val="32"/>
            </w:rPr>
            <w:fldChar w:fldCharType="separate"/>
          </w:r>
          <w:r>
            <w:rPr>
              <w:rFonts w:ascii="Times New Roman" w:hAnsi="Times New Roman" w:eastAsia="宋体" w:cs="Times New Roman"/>
              <w:sz w:val="32"/>
              <w:szCs w:val="32"/>
            </w:rPr>
            <w:t>23</w:t>
          </w:r>
          <w:r>
            <w:rPr>
              <w:rFonts w:ascii="Times New Roman" w:hAnsi="Times New Roman" w:eastAsia="宋体" w:cs="Times New Roman"/>
              <w:sz w:val="32"/>
              <w:szCs w:val="32"/>
            </w:rPr>
            <w:fldChar w:fldCharType="end"/>
          </w:r>
          <w:r>
            <w:rPr>
              <w:rFonts w:ascii="Times New Roman" w:hAnsi="Times New Roman" w:eastAsia="宋体" w:cs="Times New Roman"/>
              <w:sz w:val="32"/>
              <w:szCs w:val="32"/>
            </w:rPr>
            <w:fldChar w:fldCharType="end"/>
          </w:r>
        </w:p>
        <w:p>
          <w:pPr>
            <w:spacing w:line="360" w:lineRule="auto"/>
            <w:rPr>
              <w:rFonts w:ascii="Times New Roman" w:hAnsi="Times New Roman" w:cs="Times New Roman"/>
            </w:rPr>
          </w:pPr>
          <w:r>
            <w:rPr>
              <w:rFonts w:ascii="Times New Roman" w:hAnsi="Times New Roman" w:eastAsia="宋体" w:cs="Times New Roman"/>
              <w:sz w:val="32"/>
              <w:szCs w:val="32"/>
            </w:rPr>
            <w:fldChar w:fldCharType="end"/>
          </w:r>
        </w:p>
      </w:sdtContent>
    </w:sdt>
    <w:p>
      <w:pPr>
        <w:tabs>
          <w:tab w:val="left" w:pos="704"/>
        </w:tabs>
        <w:spacing w:before="72" w:line="360" w:lineRule="auto"/>
        <w:jc w:val="center"/>
        <w:rPr>
          <w:rFonts w:ascii="Times New Roman" w:hAnsi="Times New Roman" w:eastAsia="黑体" w:cs="Times New Roman"/>
          <w:b/>
          <w:sz w:val="36"/>
          <w:szCs w:val="36"/>
          <w:u w:color="000000"/>
        </w:rPr>
        <w:sectPr>
          <w:footerReference r:id="rId3" w:type="default"/>
          <w:pgSz w:w="11906" w:h="16838"/>
          <w:pgMar w:top="1440" w:right="1800" w:bottom="1440" w:left="1800" w:header="851" w:footer="992" w:gutter="0"/>
          <w:pgNumType w:fmt="upperRoman" w:start="1"/>
          <w:cols w:space="425" w:num="1"/>
          <w:docGrid w:type="lines" w:linePitch="312" w:charSpace="0"/>
        </w:sectPr>
      </w:pPr>
    </w:p>
    <w:p>
      <w:pPr>
        <w:pStyle w:val="2"/>
        <w:spacing w:before="0" w:after="0"/>
        <w:ind w:firstLine="560" w:firstLineChars="200"/>
        <w:rPr>
          <w:rFonts w:ascii="Times New Roman" w:hAnsi="Times New Roman" w:cs="Times New Roman"/>
          <w:sz w:val="28"/>
          <w:szCs w:val="28"/>
        </w:rPr>
      </w:pPr>
      <w:bookmarkStart w:id="0" w:name="_Toc18834"/>
      <w:bookmarkStart w:id="1" w:name="_Toc2671"/>
      <w:bookmarkStart w:id="2" w:name="_Toc224"/>
      <w:bookmarkStart w:id="3" w:name="_Toc26897"/>
      <w:bookmarkStart w:id="4" w:name="_Toc9946"/>
      <w:bookmarkStart w:id="5" w:name="_Toc3894"/>
      <w:r>
        <w:rPr>
          <w:rFonts w:ascii="Times New Roman" w:hAnsi="Times New Roman" w:cs="Times New Roman"/>
          <w:sz w:val="28"/>
          <w:szCs w:val="28"/>
        </w:rPr>
        <w:t>一、标准制定背景及任务来源</w:t>
      </w:r>
      <w:bookmarkEnd w:id="0"/>
      <w:bookmarkEnd w:id="1"/>
      <w:bookmarkEnd w:id="2"/>
      <w:bookmarkEnd w:id="3"/>
      <w:bookmarkEnd w:id="4"/>
      <w:bookmarkEnd w:id="5"/>
    </w:p>
    <w:p>
      <w:pPr>
        <w:pStyle w:val="3"/>
        <w:spacing w:before="0" w:after="0" w:line="360" w:lineRule="auto"/>
        <w:ind w:firstLine="562" w:firstLineChars="200"/>
        <w:rPr>
          <w:rFonts w:ascii="Times New Roman" w:hAnsi="Times New Roman" w:eastAsia="楷体" w:cs="Times New Roman"/>
          <w:sz w:val="28"/>
          <w:szCs w:val="28"/>
        </w:rPr>
      </w:pPr>
      <w:bookmarkStart w:id="6" w:name="_Toc29038"/>
      <w:bookmarkStart w:id="7" w:name="_Toc10301"/>
      <w:bookmarkStart w:id="8" w:name="_Toc28184"/>
      <w:bookmarkStart w:id="9" w:name="_Toc26509"/>
      <w:bookmarkStart w:id="10" w:name="_Toc31725"/>
      <w:r>
        <w:rPr>
          <w:rFonts w:ascii="Times New Roman" w:hAnsi="Times New Roman" w:eastAsia="楷体" w:cs="Times New Roman"/>
          <w:sz w:val="28"/>
          <w:szCs w:val="28"/>
        </w:rPr>
        <w:t>（一）制定背景</w:t>
      </w:r>
      <w:bookmarkEnd w:id="6"/>
      <w:bookmarkEnd w:id="7"/>
      <w:bookmarkEnd w:id="8"/>
      <w:bookmarkEnd w:id="9"/>
      <w:bookmarkEnd w:id="10"/>
    </w:p>
    <w:p>
      <w:pPr>
        <w:spacing w:line="360" w:lineRule="auto"/>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sz w:val="28"/>
          <w:szCs w:val="28"/>
        </w:rPr>
        <w:t>近年来，随着我国粮经饲三元种植结构调整、农业供给侧结构性改革深入推进和草牧业加快发展，苜蓿种植面积逐年增加，虫害发生范围不断扩大。大部分苜蓿种植区域与农作物种植区域交相分布，虫害日益加重，不仅严重制约饲草产能扩大与饲草品质提升，而且危及粮食生产安全。为</w:t>
      </w:r>
      <w:r>
        <w:rPr>
          <w:rFonts w:hint="eastAsia" w:ascii="Times New Roman" w:hAnsi="Times New Roman" w:eastAsia="宋体" w:cs="Times New Roman"/>
          <w:color w:val="000000" w:themeColor="text1"/>
          <w:sz w:val="28"/>
          <w:szCs w:val="28"/>
          <w14:textFill>
            <w14:solidFill>
              <w14:schemeClr w14:val="tx1"/>
            </w14:solidFill>
          </w14:textFill>
        </w:rPr>
        <w:t>落实党中央、国务院关于调整农业结构、促进农业绿色发展的要求，</w:t>
      </w:r>
      <w:r>
        <w:rPr>
          <w:rFonts w:hint="eastAsia" w:ascii="Times New Roman" w:hAnsi="Times New Roman" w:eastAsia="宋体" w:cs="Times New Roman"/>
          <w:sz w:val="28"/>
          <w:szCs w:val="28"/>
        </w:rPr>
        <w:t>加快苜蓿抗虫品种推广和利用，提高饲草产能与品质，提升我国苜蓿产业核心竞争力，特提出制定《苜蓿主要蓟马抗性评价技术规程》农业行业标准，为科学选育饲草品种和苜蓿害虫绿色防控提供技术依据，对于保障草牧业持续健康发展，维护畜产品质量安全，促进农牧民增产增收具有重大意义</w:t>
      </w:r>
      <w:r>
        <w:rPr>
          <w:rFonts w:hint="eastAsia" w:ascii="Times New Roman" w:hAnsi="Times New Roman" w:eastAsia="宋体" w:cs="Times New Roman"/>
          <w:color w:val="000000" w:themeColor="text1"/>
          <w:sz w:val="28"/>
          <w:szCs w:val="28"/>
          <w14:textFill>
            <w14:solidFill>
              <w14:schemeClr w14:val="tx1"/>
            </w14:solidFill>
          </w14:textFill>
        </w:rPr>
        <w:t>。</w:t>
      </w:r>
    </w:p>
    <w:p>
      <w:pPr>
        <w:spacing w:line="360" w:lineRule="auto"/>
        <w:ind w:firstLine="560" w:firstLineChars="200"/>
        <w:rPr>
          <w:rFonts w:ascii="Times New Roman" w:hAnsi="Times New Roman" w:eastAsia="宋体" w:cs="Times New Roman"/>
          <w:bCs/>
          <w:sz w:val="28"/>
          <w:szCs w:val="28"/>
        </w:rPr>
      </w:pPr>
      <w:r>
        <w:rPr>
          <w:rFonts w:hint="eastAsia" w:ascii="Times New Roman" w:hAnsi="Times New Roman" w:eastAsia="宋体" w:cs="Times New Roman"/>
          <w:sz w:val="28"/>
          <w:szCs w:val="28"/>
        </w:rPr>
        <w:t>蓟马是苜蓿田的主要害虫之一，具有种类多、分布广、危害重、发生规律复杂等特点。多年研究显示，减轻苜蓿蓟马危害最为经济、有效、安全的途径是选育和种植抗虫品种。规范苜蓿品种对主要蓟马的抗性评价技术是解决抗性品种选育和蓟马绿色防控的重要环节。从已有研究成果来看，利用苜蓿品种抗虫性控制虫害是解决蓟马危害的有效途径。目前，</w:t>
      </w:r>
      <w:r>
        <w:rPr>
          <w:rFonts w:hint="eastAsia" w:ascii="Times New Roman" w:hAnsi="Times New Roman" w:eastAsia="宋体" w:cs="Times New Roman"/>
          <w:bCs/>
          <w:color w:val="000000" w:themeColor="text1"/>
          <w:sz w:val="28"/>
          <w:szCs w:val="28"/>
          <w14:textFill>
            <w14:solidFill>
              <w14:schemeClr w14:val="tx1"/>
            </w14:solidFill>
          </w14:textFill>
        </w:rPr>
        <w:t>国内外关于苜蓿对蓟马的抗性评价研究相对较少，通过搜集查询</w:t>
      </w:r>
      <w:r>
        <w:rPr>
          <w:rFonts w:ascii="Times New Roman" w:hAnsi="Times New Roman" w:eastAsia="宋体" w:cs="Times New Roman"/>
          <w:bCs/>
          <w:color w:val="000000" w:themeColor="text1"/>
          <w:sz w:val="28"/>
          <w:szCs w:val="28"/>
          <w14:textFill>
            <w14:solidFill>
              <w14:schemeClr w14:val="tx1"/>
            </w14:solidFill>
          </w14:textFill>
        </w:rPr>
        <w:t>2001</w:t>
      </w:r>
      <w:r>
        <w:rPr>
          <w:rFonts w:hint="eastAsia" w:ascii="Times New Roman" w:hAnsi="Times New Roman" w:eastAsia="宋体" w:cs="Times New Roman"/>
          <w:bCs/>
          <w:color w:val="000000" w:themeColor="text1"/>
          <w:sz w:val="28"/>
          <w:szCs w:val="28"/>
          <w14:textFill>
            <w14:solidFill>
              <w14:schemeClr w14:val="tx1"/>
            </w14:solidFill>
          </w14:textFill>
        </w:rPr>
        <w:t>年以来相关的文献资料发现，关于苜蓿蓟马抗性评价采用的方法主要包括受害指数法、蓟马量比值法、欧式完全连锁反应、蓟马危害点系数、生理指标分析等。由于</w:t>
      </w:r>
      <w:r>
        <w:rPr>
          <w:rFonts w:hint="eastAsia" w:ascii="Times New Roman" w:hAnsi="Times New Roman" w:eastAsia="宋体" w:cs="Times New Roman"/>
          <w:bCs/>
          <w:sz w:val="28"/>
          <w:szCs w:val="28"/>
        </w:rPr>
        <w:t>不同的学者采用不同的评价技术方法和抗性级别划分标准，对于苜蓿抗性材料的评价多局限于定性评价，而缺乏数量标准。</w:t>
      </w:r>
    </w:p>
    <w:p>
      <w:pPr>
        <w:spacing w:line="360" w:lineRule="auto"/>
        <w:ind w:firstLine="560" w:firstLineChars="200"/>
        <w:rPr>
          <w:rFonts w:ascii="Times New Roman" w:hAnsi="Times New Roman" w:eastAsia="宋体" w:cs="Times New Roman"/>
          <w:bCs/>
          <w:sz w:val="28"/>
          <w:szCs w:val="28"/>
        </w:rPr>
      </w:pPr>
      <w:r>
        <w:rPr>
          <w:rFonts w:hint="eastAsia" w:ascii="Times New Roman" w:hAnsi="Times New Roman" w:eastAsia="宋体" w:cs="Times New Roman"/>
          <w:bCs/>
          <w:sz w:val="28"/>
          <w:szCs w:val="28"/>
        </w:rPr>
        <w:t>我国苜蓿种植区域分布广泛，遍布河北、山西、内蒙古、辽宁、吉林、黑龙江、云南、广西、贵州、陕西、甘肃、宁夏、新疆等省区。根据《苜蓿种植区划及品种指南》，我国苜蓿种植区共划分为东北、内蒙古高原、黄淮海、黄土高原、青藏高原和新疆等6个苜蓿种植区域。</w:t>
      </w:r>
    </w:p>
    <w:p>
      <w:pPr>
        <w:spacing w:line="360" w:lineRule="auto"/>
        <w:ind w:firstLine="560" w:firstLineChars="200"/>
        <w:rPr>
          <w:rFonts w:ascii="Times New Roman" w:hAnsi="Times New Roman" w:eastAsia="宋体" w:cs="Times New Roman"/>
          <w:bCs/>
          <w:sz w:val="28"/>
          <w:szCs w:val="28"/>
        </w:rPr>
      </w:pPr>
      <w:r>
        <w:rPr>
          <w:rFonts w:hint="eastAsia" w:ascii="Times New Roman" w:hAnsi="Times New Roman" w:eastAsia="宋体" w:cs="Times New Roman"/>
          <w:bCs/>
          <w:sz w:val="28"/>
          <w:szCs w:val="28"/>
        </w:rPr>
        <w:t>通过长期的监测和调查发现，黑龙江、内蒙古、河北、宁夏、云南、新疆等地是我国苜蓿蓟马为害的主要区域，为害苜蓿的主要蓟马包括</w:t>
      </w:r>
      <w:r>
        <w:rPr>
          <w:rFonts w:ascii="Times New Roman" w:hAnsi="Times New Roman" w:eastAsia="宋体" w:cs="Times New Roman"/>
          <w:bCs/>
          <w:color w:val="000000" w:themeColor="text1"/>
          <w:sz w:val="28"/>
          <w:szCs w:val="28"/>
          <w14:textFill>
            <w14:solidFill>
              <w14:schemeClr w14:val="tx1"/>
            </w14:solidFill>
          </w14:textFill>
        </w:rPr>
        <w:t>牛角花齿蓟马（</w:t>
      </w:r>
      <w:r>
        <w:rPr>
          <w:rFonts w:ascii="Times New Roman" w:hAnsi="Times New Roman" w:eastAsia="宋体" w:cs="Times New Roman"/>
          <w:bCs/>
          <w:i/>
          <w:iCs/>
          <w:color w:val="000000" w:themeColor="text1"/>
          <w:sz w:val="28"/>
          <w:szCs w:val="28"/>
          <w14:textFill>
            <w14:solidFill>
              <w14:schemeClr w14:val="tx1"/>
            </w14:solidFill>
          </w14:textFill>
        </w:rPr>
        <w:t>Odontothrips loti</w:t>
      </w:r>
      <w:r>
        <w:rPr>
          <w:rFonts w:ascii="Times New Roman" w:hAnsi="Times New Roman" w:eastAsia="宋体" w:cs="Times New Roman"/>
          <w:bCs/>
          <w:color w:val="000000" w:themeColor="text1"/>
          <w:sz w:val="28"/>
          <w:szCs w:val="28"/>
          <w14:textFill>
            <w14:solidFill>
              <w14:schemeClr w14:val="tx1"/>
            </w14:solidFill>
          </w14:textFill>
        </w:rPr>
        <w:t xml:space="preserve"> Haliday）、花蓟马（</w:t>
      </w:r>
      <w:r>
        <w:rPr>
          <w:rFonts w:ascii="Times New Roman" w:hAnsi="Times New Roman" w:eastAsia="宋体" w:cs="Times New Roman"/>
          <w:bCs/>
          <w:i/>
          <w:iCs/>
          <w:color w:val="000000" w:themeColor="text1"/>
          <w:sz w:val="28"/>
          <w:szCs w:val="28"/>
          <w14:textFill>
            <w14:solidFill>
              <w14:schemeClr w14:val="tx1"/>
            </w14:solidFill>
          </w14:textFill>
        </w:rPr>
        <w:t xml:space="preserve">Frankliniella intonsa </w:t>
      </w:r>
      <w:r>
        <w:rPr>
          <w:rFonts w:ascii="Times New Roman" w:hAnsi="Times New Roman" w:eastAsia="宋体" w:cs="Times New Roman"/>
          <w:bCs/>
          <w:color w:val="000000" w:themeColor="text1"/>
          <w:sz w:val="28"/>
          <w:szCs w:val="28"/>
          <w14:textFill>
            <w14:solidFill>
              <w14:schemeClr w14:val="tx1"/>
            </w14:solidFill>
          </w14:textFill>
        </w:rPr>
        <w:t>Trybom）、烟蓟马（</w:t>
      </w:r>
      <w:r>
        <w:rPr>
          <w:rFonts w:ascii="Times New Roman" w:hAnsi="Times New Roman" w:eastAsia="宋体" w:cs="Times New Roman"/>
          <w:bCs/>
          <w:i/>
          <w:iCs/>
          <w:color w:val="000000" w:themeColor="text1"/>
          <w:sz w:val="28"/>
          <w:szCs w:val="28"/>
          <w14:textFill>
            <w14:solidFill>
              <w14:schemeClr w14:val="tx1"/>
            </w14:solidFill>
          </w14:textFill>
        </w:rPr>
        <w:t>Thrips tabaci</w:t>
      </w:r>
      <w:r>
        <w:rPr>
          <w:rFonts w:ascii="Times New Roman" w:hAnsi="Times New Roman" w:eastAsia="宋体" w:cs="Times New Roman"/>
          <w:bCs/>
          <w:color w:val="000000" w:themeColor="text1"/>
          <w:sz w:val="28"/>
          <w:szCs w:val="28"/>
          <w14:textFill>
            <w14:solidFill>
              <w14:schemeClr w14:val="tx1"/>
            </w14:solidFill>
          </w14:textFill>
        </w:rPr>
        <w:t xml:space="preserve"> Lindeman）、西花蓟马（</w:t>
      </w:r>
      <w:r>
        <w:rPr>
          <w:rFonts w:ascii="Times New Roman" w:hAnsi="Times New Roman" w:eastAsia="宋体" w:cs="Times New Roman"/>
          <w:bCs/>
          <w:i/>
          <w:iCs/>
          <w:color w:val="000000" w:themeColor="text1"/>
          <w:sz w:val="28"/>
          <w:szCs w:val="28"/>
          <w14:textFill>
            <w14:solidFill>
              <w14:schemeClr w14:val="tx1"/>
            </w14:solidFill>
          </w14:textFill>
        </w:rPr>
        <w:t>Franklinielia occidentalis</w:t>
      </w:r>
      <w:r>
        <w:rPr>
          <w:rFonts w:ascii="Times New Roman" w:hAnsi="Times New Roman" w:eastAsia="宋体" w:cs="Times New Roman"/>
          <w:bCs/>
          <w:color w:val="000000" w:themeColor="text1"/>
          <w:sz w:val="28"/>
          <w:szCs w:val="28"/>
          <w14:textFill>
            <w14:solidFill>
              <w14:schemeClr w14:val="tx1"/>
            </w14:solidFill>
          </w14:textFill>
        </w:rPr>
        <w:t xml:space="preserve"> Perg）</w:t>
      </w:r>
      <w:r>
        <w:rPr>
          <w:rFonts w:hint="eastAsia" w:ascii="Times New Roman" w:hAnsi="Times New Roman" w:eastAsia="宋体" w:cs="Times New Roman"/>
          <w:bCs/>
          <w:color w:val="000000" w:themeColor="text1"/>
          <w:sz w:val="28"/>
          <w:szCs w:val="28"/>
          <w14:textFill>
            <w14:solidFill>
              <w14:schemeClr w14:val="tx1"/>
            </w14:solidFill>
          </w14:textFill>
        </w:rPr>
        <w:t>和</w:t>
      </w:r>
      <w:r>
        <w:rPr>
          <w:rFonts w:ascii="Times New Roman" w:hAnsi="Times New Roman" w:eastAsia="宋体" w:cs="Times New Roman"/>
          <w:bCs/>
          <w:color w:val="000000" w:themeColor="text1"/>
          <w:sz w:val="28"/>
          <w:szCs w:val="28"/>
          <w14:textFill>
            <w14:solidFill>
              <w14:schemeClr w14:val="tx1"/>
            </w14:solidFill>
          </w14:textFill>
        </w:rPr>
        <w:t>端带蓟马（</w:t>
      </w:r>
      <w:r>
        <w:rPr>
          <w:rFonts w:ascii="Times New Roman" w:hAnsi="Times New Roman" w:eastAsia="宋体" w:cs="Times New Roman"/>
          <w:bCs/>
          <w:i/>
          <w:iCs/>
          <w:color w:val="000000" w:themeColor="text1"/>
          <w:sz w:val="28"/>
          <w:szCs w:val="28"/>
          <w14:textFill>
            <w14:solidFill>
              <w14:schemeClr w14:val="tx1"/>
            </w14:solidFill>
          </w14:textFill>
        </w:rPr>
        <w:t>Megalurothrips distali</w:t>
      </w:r>
      <w:r>
        <w:rPr>
          <w:rFonts w:ascii="Times New Roman" w:hAnsi="Times New Roman" w:eastAsia="宋体" w:cs="Times New Roman"/>
          <w:bCs/>
          <w:color w:val="000000" w:themeColor="text1"/>
          <w:sz w:val="28"/>
          <w:szCs w:val="28"/>
          <w14:textFill>
            <w14:solidFill>
              <w14:schemeClr w14:val="tx1"/>
            </w14:solidFill>
          </w14:textFill>
        </w:rPr>
        <w:t xml:space="preserve"> Karny）</w:t>
      </w:r>
      <w:r>
        <w:rPr>
          <w:rFonts w:hint="eastAsia" w:ascii="Times New Roman" w:hAnsi="Times New Roman" w:eastAsia="宋体" w:cs="Times New Roman"/>
          <w:bCs/>
          <w:color w:val="000000" w:themeColor="text1"/>
          <w:sz w:val="28"/>
          <w:szCs w:val="28"/>
          <w14:textFill>
            <w14:solidFill>
              <w14:schemeClr w14:val="tx1"/>
            </w14:solidFill>
          </w14:textFill>
        </w:rPr>
        <w:t>。</w:t>
      </w:r>
    </w:p>
    <w:p>
      <w:pPr>
        <w:spacing w:line="360" w:lineRule="auto"/>
        <w:ind w:firstLine="560" w:firstLineChars="200"/>
        <w:rPr>
          <w:rFonts w:ascii="Times New Roman" w:hAnsi="Times New Roman" w:eastAsia="宋体" w:cs="Times New Roman"/>
          <w:color w:val="000000" w:themeColor="text1"/>
          <w:sz w:val="28"/>
          <w:szCs w:val="28"/>
          <w14:textFill>
            <w14:solidFill>
              <w14:schemeClr w14:val="tx1"/>
            </w14:solidFill>
          </w14:textFill>
        </w:rPr>
      </w:pPr>
      <w:r>
        <w:rPr>
          <w:rFonts w:hint="eastAsia" w:ascii="Times New Roman" w:hAnsi="Times New Roman" w:eastAsia="宋体" w:cs="Times New Roman"/>
          <w:bCs/>
          <w:sz w:val="28"/>
          <w:szCs w:val="28"/>
        </w:rPr>
        <w:t>目前，国内对苜蓿主要蓟马抗性评价分级没有统一的标准，加之国内栽培的苜蓿品种繁多，不同地区栽培的品种不同，且栽培后的抗性表现也不尽相同，很有必要针对不同地区引进和种植的不同苜蓿，对主要蓟马的抗性进行科学评价，完善苜蓿主要蓟马抗性评价体系，以筛选适应各地区种植生产的抗蓟马苜蓿品种。本标准的制定以苜蓿大田生产为基础，规定了苜蓿大田生产过程中的蓟马抗性鉴定流程，提供了苜蓿大田生产中对苜蓿品种蓟马抗性的鉴定程序，从而苜蓿种植哦品种对蓟马的抗性，以服务于广大苜蓿生产者选择适宜的苜蓿品种。从事苜蓿生产。</w:t>
      </w:r>
    </w:p>
    <w:p>
      <w:pPr>
        <w:pStyle w:val="3"/>
        <w:spacing w:before="0" w:after="0" w:line="360" w:lineRule="auto"/>
        <w:ind w:firstLine="562" w:firstLineChars="200"/>
        <w:rPr>
          <w:rFonts w:ascii="Times New Roman" w:hAnsi="Times New Roman" w:eastAsia="楷体" w:cs="Times New Roman"/>
          <w:sz w:val="28"/>
          <w:szCs w:val="28"/>
        </w:rPr>
      </w:pPr>
      <w:bookmarkStart w:id="11" w:name="_Toc12125"/>
      <w:bookmarkStart w:id="12" w:name="_Toc4078"/>
      <w:bookmarkStart w:id="13" w:name="_Toc16873"/>
      <w:bookmarkStart w:id="14" w:name="_Toc9642"/>
      <w:bookmarkStart w:id="15" w:name="_Toc198"/>
      <w:r>
        <w:rPr>
          <w:rFonts w:ascii="Times New Roman" w:hAnsi="Times New Roman" w:eastAsia="楷体" w:cs="Times New Roman"/>
          <w:sz w:val="28"/>
          <w:szCs w:val="28"/>
        </w:rPr>
        <w:t>（二）任务来源</w:t>
      </w:r>
      <w:bookmarkEnd w:id="11"/>
      <w:bookmarkEnd w:id="12"/>
      <w:bookmarkEnd w:id="13"/>
      <w:bookmarkEnd w:id="14"/>
      <w:bookmarkEnd w:id="15"/>
    </w:p>
    <w:p>
      <w:pPr>
        <w:spacing w:line="360" w:lineRule="auto"/>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2021</w:t>
      </w:r>
      <w:r>
        <w:rPr>
          <w:rFonts w:hint="eastAsia" w:ascii="Times New Roman" w:hAnsi="Times New Roman" w:eastAsia="宋体" w:cs="Times New Roman"/>
          <w:sz w:val="28"/>
          <w:szCs w:val="28"/>
        </w:rPr>
        <w:t>年</w:t>
      </w:r>
      <w:r>
        <w:rPr>
          <w:rFonts w:ascii="Times New Roman" w:hAnsi="Times New Roman" w:eastAsia="宋体" w:cs="Times New Roman"/>
          <w:sz w:val="28"/>
          <w:szCs w:val="28"/>
        </w:rPr>
        <w:t>5</w:t>
      </w:r>
      <w:r>
        <w:rPr>
          <w:rFonts w:hint="eastAsia" w:ascii="Times New Roman" w:hAnsi="Times New Roman" w:eastAsia="宋体" w:cs="Times New Roman"/>
          <w:sz w:val="28"/>
          <w:szCs w:val="28"/>
        </w:rPr>
        <w:t>月，农业农村部农产品质量安全监管司《关于下达</w:t>
      </w:r>
      <w:r>
        <w:rPr>
          <w:rFonts w:ascii="Times New Roman" w:hAnsi="Times New Roman" w:eastAsia="宋体" w:cs="Times New Roman"/>
          <w:sz w:val="28"/>
          <w:szCs w:val="28"/>
        </w:rPr>
        <w:t>2021</w:t>
      </w:r>
      <w:r>
        <w:rPr>
          <w:rFonts w:hint="eastAsia" w:ascii="Times New Roman" w:hAnsi="Times New Roman" w:eastAsia="宋体" w:cs="Times New Roman"/>
          <w:sz w:val="28"/>
          <w:szCs w:val="28"/>
        </w:rPr>
        <w:t>年第一批农业国家和行业标准制修订项目计划的通知》（农质标函〔</w:t>
      </w:r>
      <w:r>
        <w:rPr>
          <w:rFonts w:ascii="Times New Roman" w:hAnsi="Times New Roman" w:eastAsia="宋体" w:cs="Times New Roman"/>
          <w:sz w:val="28"/>
          <w:szCs w:val="28"/>
        </w:rPr>
        <w:t>2021</w:t>
      </w:r>
      <w:r>
        <w:rPr>
          <w:rFonts w:hint="eastAsia" w:ascii="Times New Roman" w:hAnsi="Times New Roman" w:eastAsia="宋体" w:cs="Times New Roman"/>
          <w:sz w:val="28"/>
          <w:szCs w:val="28"/>
        </w:rPr>
        <w:t>〕</w:t>
      </w:r>
      <w:r>
        <w:rPr>
          <w:rFonts w:ascii="Times New Roman" w:hAnsi="Times New Roman" w:eastAsia="宋体" w:cs="Times New Roman"/>
          <w:sz w:val="28"/>
          <w:szCs w:val="28"/>
        </w:rPr>
        <w:t>76</w:t>
      </w:r>
      <w:r>
        <w:rPr>
          <w:rFonts w:hint="eastAsia" w:ascii="Times New Roman" w:hAnsi="Times New Roman" w:eastAsia="宋体" w:cs="Times New Roman"/>
          <w:sz w:val="28"/>
          <w:szCs w:val="28"/>
        </w:rPr>
        <w:t>号）中，将《苜蓿品种抗蓟马性评价技术规程》列入农业行业标准制定计划，项目计划号为：农质标函〔</w:t>
      </w:r>
      <w:r>
        <w:rPr>
          <w:rFonts w:ascii="Times New Roman" w:hAnsi="Times New Roman" w:eastAsia="宋体" w:cs="Times New Roman"/>
          <w:sz w:val="28"/>
          <w:szCs w:val="28"/>
        </w:rPr>
        <w:t>2021</w:t>
      </w:r>
      <w:r>
        <w:rPr>
          <w:rFonts w:hint="eastAsia" w:ascii="Times New Roman" w:hAnsi="Times New Roman" w:eastAsia="宋体" w:cs="Times New Roman"/>
          <w:sz w:val="28"/>
          <w:szCs w:val="28"/>
        </w:rPr>
        <w:t>〕</w:t>
      </w:r>
      <w:r>
        <w:rPr>
          <w:rFonts w:ascii="Times New Roman" w:hAnsi="Times New Roman" w:eastAsia="宋体" w:cs="Times New Roman"/>
          <w:sz w:val="28"/>
          <w:szCs w:val="28"/>
        </w:rPr>
        <w:t>76</w:t>
      </w:r>
      <w:r>
        <w:rPr>
          <w:rFonts w:hint="eastAsia" w:ascii="Times New Roman" w:hAnsi="Times New Roman" w:eastAsia="宋体" w:cs="Times New Roman"/>
          <w:sz w:val="28"/>
          <w:szCs w:val="28"/>
        </w:rPr>
        <w:t>号</w:t>
      </w:r>
      <w:r>
        <w:rPr>
          <w:rFonts w:ascii="Times New Roman" w:hAnsi="Times New Roman" w:eastAsia="宋体" w:cs="Times New Roman"/>
          <w:sz w:val="28"/>
          <w:szCs w:val="28"/>
        </w:rPr>
        <w:t>2021-123</w:t>
      </w:r>
      <w:r>
        <w:rPr>
          <w:rFonts w:hint="eastAsia" w:ascii="Times New Roman" w:hAnsi="Times New Roman" w:eastAsia="宋体" w:cs="Times New Roman"/>
          <w:sz w:val="28"/>
          <w:szCs w:val="28"/>
        </w:rPr>
        <w:t>。项目承担单位为全国畜牧总站、中国农业科学院植物保护研究所、中国农业大学等，项目首席为杜桂林同志。</w:t>
      </w:r>
    </w:p>
    <w:p>
      <w:pPr>
        <w:pStyle w:val="2"/>
        <w:spacing w:before="0" w:after="0" w:line="360" w:lineRule="auto"/>
        <w:ind w:firstLine="560"/>
        <w:rPr>
          <w:rFonts w:ascii="Times New Roman" w:hAnsi="Times New Roman" w:cs="Times New Roman"/>
          <w:sz w:val="28"/>
          <w:szCs w:val="28"/>
        </w:rPr>
      </w:pPr>
      <w:bookmarkStart w:id="16" w:name="_Toc5427"/>
      <w:bookmarkStart w:id="17" w:name="_Toc8364"/>
      <w:bookmarkStart w:id="18" w:name="_Toc7113"/>
      <w:bookmarkStart w:id="19" w:name="_Toc7044"/>
      <w:bookmarkStart w:id="20" w:name="_Toc1413"/>
      <w:bookmarkStart w:id="21" w:name="_Toc21130"/>
      <w:r>
        <w:rPr>
          <w:rFonts w:ascii="Times New Roman" w:hAnsi="Times New Roman" w:cs="Times New Roman"/>
          <w:sz w:val="28"/>
          <w:szCs w:val="28"/>
        </w:rPr>
        <w:t>二、主要工作过程</w:t>
      </w:r>
      <w:bookmarkEnd w:id="16"/>
      <w:bookmarkEnd w:id="17"/>
      <w:bookmarkEnd w:id="18"/>
      <w:bookmarkEnd w:id="19"/>
      <w:bookmarkEnd w:id="20"/>
      <w:bookmarkEnd w:id="21"/>
    </w:p>
    <w:p>
      <w:pPr>
        <w:spacing w:line="360" w:lineRule="auto"/>
        <w:ind w:firstLine="560" w:firstLineChars="200"/>
        <w:rPr>
          <w:rFonts w:ascii="Times New Roman" w:hAnsi="Times New Roman" w:eastAsia="楷体" w:cs="Times New Roman"/>
          <w:b/>
          <w:sz w:val="28"/>
          <w:szCs w:val="28"/>
        </w:rPr>
      </w:pPr>
      <w:r>
        <w:rPr>
          <w:rFonts w:ascii="Times New Roman" w:hAnsi="Times New Roman" w:eastAsia="宋体" w:cs="Times New Roman"/>
          <w:bCs/>
          <w:sz w:val="28"/>
          <w:szCs w:val="28"/>
        </w:rPr>
        <w:t>标准起草工作组根据我国苜蓿种植的实际情况，参照国内外现行的一系列虫害监测技术规范，在总结大量已有研究基础上，开展广泛调研，咨询苜蓿蓟马监测预警相关的专家和技术骨干人员，按照《全国畜牧业标准化技术委员会预审管理办法（试行）》和《全国畜牧业标准化技术委员会终审管理办法（试行）》的要求，推进标准制定工作。主要工作过程如下：</w:t>
      </w:r>
      <w:bookmarkStart w:id="22" w:name="_Toc22192"/>
    </w:p>
    <w:p>
      <w:pPr>
        <w:pStyle w:val="3"/>
        <w:spacing w:before="0" w:after="0" w:line="360" w:lineRule="auto"/>
        <w:ind w:firstLine="562" w:firstLineChars="200"/>
        <w:rPr>
          <w:rFonts w:ascii="Times New Roman" w:hAnsi="Times New Roman" w:eastAsia="楷体" w:cs="Times New Roman"/>
          <w:sz w:val="28"/>
          <w:szCs w:val="28"/>
        </w:rPr>
      </w:pPr>
      <w:bookmarkStart w:id="23" w:name="_Toc18467"/>
      <w:bookmarkStart w:id="24" w:name="_Toc27498"/>
      <w:r>
        <w:rPr>
          <w:rFonts w:ascii="Times New Roman" w:hAnsi="Times New Roman" w:eastAsia="楷体" w:cs="Times New Roman"/>
          <w:sz w:val="28"/>
          <w:szCs w:val="28"/>
        </w:rPr>
        <w:t>（一）成立</w:t>
      </w:r>
      <w:bookmarkEnd w:id="22"/>
      <w:r>
        <w:rPr>
          <w:rFonts w:ascii="Times New Roman" w:hAnsi="Times New Roman" w:eastAsia="楷体" w:cs="Times New Roman"/>
          <w:sz w:val="28"/>
          <w:szCs w:val="28"/>
        </w:rPr>
        <w:t>起草工作组</w:t>
      </w:r>
      <w:bookmarkEnd w:id="23"/>
      <w:bookmarkEnd w:id="24"/>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Cs/>
          <w:color w:val="000000" w:themeColor="text1"/>
          <w:sz w:val="28"/>
          <w:szCs w:val="28"/>
          <w14:textFill>
            <w14:solidFill>
              <w14:schemeClr w14:val="tx1"/>
            </w14:solidFill>
          </w14:textFill>
        </w:rPr>
        <w:t>2021年5月，标准制定任务下达后，全国畜牧总站会同中国农业科学院植物保护研究所、中国农业大学等单位成立了标准起草工作组（见表1），召开专题会议，明确任务分工，建立监督机制，确保标准制定工作顺利实施。</w:t>
      </w:r>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p>
    <w:p>
      <w:pPr>
        <w:jc w:val="center"/>
        <w:rPr>
          <w:rFonts w:ascii="Times New Roman" w:hAnsi="Times New Roman" w:eastAsia="宋体" w:cs="Times New Roman"/>
          <w:b/>
          <w:color w:val="000000" w:themeColor="text1"/>
          <w:sz w:val="28"/>
          <w:szCs w:val="28"/>
          <w14:textFill>
            <w14:solidFill>
              <w14:schemeClr w14:val="tx1"/>
            </w14:solidFill>
          </w14:textFill>
        </w:rPr>
      </w:pPr>
    </w:p>
    <w:p>
      <w:pPr>
        <w:jc w:val="center"/>
        <w:rPr>
          <w:rFonts w:ascii="Times New Roman" w:hAnsi="Times New Roman" w:eastAsia="宋体" w:cs="Times New Roman"/>
          <w:b/>
          <w:color w:val="000000" w:themeColor="text1"/>
          <w:sz w:val="28"/>
          <w:szCs w:val="28"/>
          <w14:textFill>
            <w14:solidFill>
              <w14:schemeClr w14:val="tx1"/>
            </w14:solidFill>
          </w14:textFill>
        </w:rPr>
      </w:pPr>
    </w:p>
    <w:p>
      <w:pPr>
        <w:jc w:val="center"/>
        <w:rPr>
          <w:rFonts w:ascii="Times New Roman" w:hAnsi="Times New Roman" w:eastAsia="宋体" w:cs="Times New Roman"/>
          <w:b/>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表1  标准起草工作组</w:t>
      </w:r>
    </w:p>
    <w:tbl>
      <w:tblPr>
        <w:tblStyle w:val="18"/>
        <w:tblW w:w="52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9"/>
        <w:gridCol w:w="1748"/>
        <w:gridCol w:w="1748"/>
        <w:gridCol w:w="3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29" w:type="pct"/>
            <w:vAlign w:val="center"/>
          </w:tcPr>
          <w:p>
            <w:pPr>
              <w:jc w:val="center"/>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单位</w:t>
            </w:r>
          </w:p>
        </w:tc>
        <w:tc>
          <w:tcPr>
            <w:tcW w:w="968" w:type="pct"/>
            <w:vAlign w:val="center"/>
          </w:tcPr>
          <w:p>
            <w:pPr>
              <w:jc w:val="center"/>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参加人员</w:t>
            </w:r>
          </w:p>
        </w:tc>
        <w:tc>
          <w:tcPr>
            <w:tcW w:w="968" w:type="pct"/>
            <w:vAlign w:val="center"/>
          </w:tcPr>
          <w:p>
            <w:pPr>
              <w:jc w:val="center"/>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职称</w:t>
            </w:r>
          </w:p>
        </w:tc>
        <w:tc>
          <w:tcPr>
            <w:tcW w:w="1934" w:type="pct"/>
            <w:vAlign w:val="center"/>
          </w:tcPr>
          <w:p>
            <w:pPr>
              <w:jc w:val="center"/>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29"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全国畜牧总站</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杜桂林</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高级畜牧师</w:t>
            </w:r>
          </w:p>
        </w:tc>
        <w:tc>
          <w:tcPr>
            <w:tcW w:w="1934"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项目总负责人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29"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中国农业科学院植物保护研究所</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涂雄兵</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研究员</w:t>
            </w:r>
          </w:p>
        </w:tc>
        <w:tc>
          <w:tcPr>
            <w:tcW w:w="1934"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sz w:val="24"/>
                <w:szCs w:val="24"/>
              </w:rPr>
              <w:t>制定项目实施方案，组织编写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29"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全国畜牧总站</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赵小丽</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正高级畜牧师</w:t>
            </w:r>
          </w:p>
        </w:tc>
        <w:tc>
          <w:tcPr>
            <w:tcW w:w="1934"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sz w:val="24"/>
                <w:szCs w:val="24"/>
              </w:rPr>
              <w:t>制定项目实施方案，组织编写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29"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中国农业大学</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班丽萍</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教授</w:t>
            </w:r>
          </w:p>
        </w:tc>
        <w:tc>
          <w:tcPr>
            <w:tcW w:w="1934"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sz w:val="24"/>
                <w:szCs w:val="24"/>
              </w:rPr>
              <w:t>资料整理，参与编写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29"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中国农业科学院植物保护研究所</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张泽华</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研究员</w:t>
            </w:r>
          </w:p>
        </w:tc>
        <w:tc>
          <w:tcPr>
            <w:tcW w:w="1934"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sz w:val="24"/>
                <w:szCs w:val="24"/>
              </w:rPr>
              <w:t>参与技术指导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29"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全国畜牧总站</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李新一</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研究员</w:t>
            </w:r>
          </w:p>
        </w:tc>
        <w:tc>
          <w:tcPr>
            <w:tcW w:w="1934" w:type="pct"/>
            <w:vAlign w:val="center"/>
          </w:tcPr>
          <w:p>
            <w:pPr>
              <w:jc w:val="center"/>
              <w:rPr>
                <w:rFonts w:ascii="Times New Roman" w:hAnsi="Times New Roman" w:eastAsia="宋体" w:cs="Times New Roman"/>
                <w:bCs/>
                <w:color w:val="000000"/>
                <w:sz w:val="24"/>
                <w:szCs w:val="24"/>
              </w:rPr>
            </w:pPr>
            <w:r>
              <w:rPr>
                <w:rFonts w:hint="eastAsia" w:ascii="Times New Roman" w:hAnsi="Times New Roman" w:eastAsia="宋体" w:cs="Times New Roman"/>
                <w:bCs/>
                <w:color w:val="000000" w:themeColor="text1"/>
                <w:sz w:val="24"/>
                <w:szCs w:val="24"/>
                <w14:textFill>
                  <w14:solidFill>
                    <w14:schemeClr w14:val="tx1"/>
                  </w14:solidFill>
                </w14:textFill>
              </w:rPr>
              <w:t>参与技术指导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29"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中国农业科学院植物保护研究所</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潘凡</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无</w:t>
            </w:r>
          </w:p>
        </w:tc>
        <w:tc>
          <w:tcPr>
            <w:tcW w:w="1934" w:type="pct"/>
            <w:vAlign w:val="center"/>
          </w:tcPr>
          <w:p>
            <w:pPr>
              <w:jc w:val="center"/>
              <w:rPr>
                <w:rFonts w:ascii="Times New Roman" w:hAnsi="Times New Roman" w:eastAsia="宋体" w:cs="Times New Roman"/>
                <w:bCs/>
                <w:color w:val="000000"/>
                <w:sz w:val="24"/>
                <w:szCs w:val="24"/>
              </w:rPr>
            </w:pPr>
            <w:r>
              <w:rPr>
                <w:rFonts w:hint="eastAsia" w:ascii="Times New Roman" w:hAnsi="Times New Roman" w:eastAsia="宋体" w:cs="Times New Roman"/>
                <w:bCs/>
                <w:color w:val="000000"/>
                <w:sz w:val="24"/>
                <w:szCs w:val="24"/>
              </w:rPr>
              <w:t>资料整理，参与编写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29"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河北农业大学</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高立杰</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副教授</w:t>
            </w:r>
          </w:p>
        </w:tc>
        <w:tc>
          <w:tcPr>
            <w:tcW w:w="1934" w:type="pct"/>
            <w:vAlign w:val="center"/>
          </w:tcPr>
          <w:p>
            <w:pPr>
              <w:jc w:val="center"/>
              <w:rPr>
                <w:rFonts w:ascii="Times New Roman" w:hAnsi="Times New Roman" w:eastAsia="宋体" w:cs="Times New Roman"/>
                <w:bCs/>
                <w:color w:val="000000"/>
                <w:sz w:val="24"/>
                <w:szCs w:val="24"/>
              </w:rPr>
            </w:pPr>
            <w:r>
              <w:rPr>
                <w:rFonts w:hint="eastAsia" w:ascii="Times New Roman" w:hAnsi="Times New Roman" w:eastAsia="宋体" w:cs="Times New Roman"/>
                <w:bCs/>
                <w:color w:val="000000"/>
                <w:sz w:val="24"/>
                <w:szCs w:val="24"/>
              </w:rPr>
              <w:t>资料整理，参与编写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29"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宁夏农林科学院植物保护研究所</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张蓉</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研究员</w:t>
            </w:r>
          </w:p>
        </w:tc>
        <w:tc>
          <w:tcPr>
            <w:tcW w:w="1934" w:type="pct"/>
            <w:vAlign w:val="center"/>
          </w:tcPr>
          <w:p>
            <w:pPr>
              <w:jc w:val="center"/>
              <w:rPr>
                <w:rFonts w:ascii="Times New Roman" w:hAnsi="Times New Roman" w:eastAsia="宋体" w:cs="Times New Roman"/>
                <w:bCs/>
                <w:color w:val="000000"/>
                <w:sz w:val="24"/>
                <w:szCs w:val="24"/>
              </w:rPr>
            </w:pPr>
            <w:r>
              <w:rPr>
                <w:rFonts w:hint="eastAsia" w:ascii="Times New Roman" w:hAnsi="Times New Roman" w:eastAsia="宋体" w:cs="Times New Roman"/>
                <w:bCs/>
                <w:color w:val="000000"/>
                <w:sz w:val="24"/>
                <w:szCs w:val="24"/>
              </w:rPr>
              <w:t>资料整理，参与编写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29"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新疆农业大学</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赵莉</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教授</w:t>
            </w:r>
          </w:p>
        </w:tc>
        <w:tc>
          <w:tcPr>
            <w:tcW w:w="1934" w:type="pct"/>
            <w:vAlign w:val="center"/>
          </w:tcPr>
          <w:p>
            <w:pPr>
              <w:jc w:val="center"/>
              <w:rPr>
                <w:rFonts w:ascii="Times New Roman" w:hAnsi="Times New Roman" w:eastAsia="宋体" w:cs="Times New Roman"/>
                <w:bCs/>
                <w:color w:val="000000"/>
                <w:sz w:val="24"/>
                <w:szCs w:val="24"/>
              </w:rPr>
            </w:pPr>
            <w:r>
              <w:rPr>
                <w:rFonts w:hint="eastAsia" w:ascii="Times New Roman" w:hAnsi="Times New Roman" w:eastAsia="宋体" w:cs="Times New Roman"/>
                <w:bCs/>
                <w:color w:val="000000"/>
                <w:sz w:val="24"/>
                <w:szCs w:val="24"/>
              </w:rPr>
              <w:t>资料整理，参与编写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29"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甘肃农业大学</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胡桂馨</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副教授</w:t>
            </w:r>
          </w:p>
        </w:tc>
        <w:tc>
          <w:tcPr>
            <w:tcW w:w="1934" w:type="pct"/>
            <w:vAlign w:val="center"/>
          </w:tcPr>
          <w:p>
            <w:pPr>
              <w:jc w:val="center"/>
              <w:rPr>
                <w:rFonts w:ascii="Times New Roman" w:hAnsi="Times New Roman" w:eastAsia="宋体" w:cs="Times New Roman"/>
                <w:bCs/>
                <w:color w:val="000000"/>
                <w:sz w:val="24"/>
                <w:szCs w:val="24"/>
              </w:rPr>
            </w:pPr>
            <w:r>
              <w:rPr>
                <w:rFonts w:hint="eastAsia" w:ascii="Times New Roman" w:hAnsi="Times New Roman" w:eastAsia="宋体" w:cs="Times New Roman"/>
                <w:bCs/>
                <w:color w:val="000000"/>
                <w:sz w:val="24"/>
                <w:szCs w:val="24"/>
              </w:rPr>
              <w:t>资料整理，参与编写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29"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中国农业大学</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吴哲</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副教授</w:t>
            </w:r>
          </w:p>
        </w:tc>
        <w:tc>
          <w:tcPr>
            <w:tcW w:w="1934" w:type="pct"/>
            <w:vAlign w:val="center"/>
          </w:tcPr>
          <w:p>
            <w:pPr>
              <w:jc w:val="center"/>
              <w:rPr>
                <w:rFonts w:ascii="Times New Roman" w:hAnsi="Times New Roman" w:eastAsia="宋体" w:cs="Times New Roman"/>
                <w:bCs/>
                <w:color w:val="000000"/>
                <w:sz w:val="24"/>
                <w:szCs w:val="24"/>
              </w:rPr>
            </w:pPr>
            <w:r>
              <w:rPr>
                <w:rFonts w:hint="eastAsia" w:ascii="Times New Roman" w:hAnsi="Times New Roman" w:eastAsia="宋体" w:cs="Times New Roman"/>
                <w:bCs/>
                <w:color w:val="000000"/>
                <w:sz w:val="24"/>
                <w:szCs w:val="24"/>
              </w:rPr>
              <w:t>资料整理，参与编写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129"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宁夏农林科学院植物保护研究所</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魏淑花</w:t>
            </w:r>
          </w:p>
        </w:tc>
        <w:tc>
          <w:tcPr>
            <w:tcW w:w="968" w:type="pct"/>
            <w:vAlign w:val="center"/>
          </w:tcPr>
          <w:p>
            <w:pPr>
              <w:jc w:val="center"/>
              <w:rPr>
                <w:rFonts w:ascii="Times New Roman" w:hAnsi="Times New Roman" w:eastAsia="宋体" w:cs="Times New Roman"/>
                <w:bCs/>
                <w:color w:val="000000" w:themeColor="text1"/>
                <w:sz w:val="24"/>
                <w:szCs w:val="24"/>
                <w14:textFill>
                  <w14:solidFill>
                    <w14:schemeClr w14:val="tx1"/>
                  </w14:solidFill>
                </w14:textFill>
              </w:rPr>
            </w:pPr>
            <w:r>
              <w:rPr>
                <w:rFonts w:hint="eastAsia" w:ascii="Times New Roman" w:hAnsi="Times New Roman" w:eastAsia="宋体" w:cs="Times New Roman"/>
                <w:bCs/>
                <w:color w:val="000000" w:themeColor="text1"/>
                <w:sz w:val="24"/>
                <w:szCs w:val="24"/>
                <w14:textFill>
                  <w14:solidFill>
                    <w14:schemeClr w14:val="tx1"/>
                  </w14:solidFill>
                </w14:textFill>
              </w:rPr>
              <w:t>副研究员</w:t>
            </w:r>
          </w:p>
        </w:tc>
        <w:tc>
          <w:tcPr>
            <w:tcW w:w="1934" w:type="pct"/>
            <w:vAlign w:val="center"/>
          </w:tcPr>
          <w:p>
            <w:pPr>
              <w:jc w:val="center"/>
              <w:rPr>
                <w:rFonts w:ascii="Times New Roman" w:hAnsi="Times New Roman" w:eastAsia="宋体" w:cs="Times New Roman"/>
                <w:bCs/>
                <w:color w:val="000000"/>
                <w:sz w:val="24"/>
                <w:szCs w:val="24"/>
              </w:rPr>
            </w:pPr>
            <w:r>
              <w:rPr>
                <w:rFonts w:hint="eastAsia" w:ascii="Times New Roman" w:hAnsi="Times New Roman" w:eastAsia="宋体" w:cs="Times New Roman"/>
                <w:bCs/>
                <w:color w:val="000000"/>
                <w:sz w:val="24"/>
                <w:szCs w:val="24"/>
              </w:rPr>
              <w:t>资料整理，参与编写</w:t>
            </w:r>
          </w:p>
        </w:tc>
      </w:tr>
    </w:tbl>
    <w:p>
      <w:pPr>
        <w:pStyle w:val="3"/>
        <w:spacing w:before="0" w:after="0" w:line="360" w:lineRule="auto"/>
        <w:ind w:firstLine="562" w:firstLineChars="200"/>
        <w:rPr>
          <w:rFonts w:ascii="Times New Roman" w:hAnsi="Times New Roman" w:eastAsia="楷体" w:cs="Times New Roman"/>
          <w:sz w:val="28"/>
          <w:szCs w:val="28"/>
        </w:rPr>
      </w:pPr>
      <w:bookmarkStart w:id="25" w:name="_Toc2676"/>
      <w:bookmarkStart w:id="26" w:name="_Toc13727"/>
      <w:bookmarkStart w:id="27" w:name="_Toc28568"/>
      <w:bookmarkStart w:id="28" w:name="_Toc23679"/>
      <w:bookmarkStart w:id="29" w:name="_Toc7919"/>
      <w:r>
        <w:rPr>
          <w:rFonts w:ascii="Times New Roman" w:hAnsi="Times New Roman" w:eastAsia="楷体" w:cs="Times New Roman"/>
          <w:sz w:val="28"/>
          <w:szCs w:val="28"/>
        </w:rPr>
        <w:t>（二）明确标准框架</w:t>
      </w:r>
      <w:bookmarkEnd w:id="25"/>
      <w:bookmarkEnd w:id="26"/>
      <w:bookmarkEnd w:id="27"/>
      <w:bookmarkEnd w:id="28"/>
      <w:bookmarkEnd w:id="29"/>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Cs/>
          <w:color w:val="000000" w:themeColor="text1"/>
          <w:sz w:val="28"/>
          <w:szCs w:val="28"/>
          <w14:textFill>
            <w14:solidFill>
              <w14:schemeClr w14:val="tx1"/>
            </w14:solidFill>
          </w14:textFill>
        </w:rPr>
        <w:t>2021</w:t>
      </w:r>
      <w:r>
        <w:rPr>
          <w:rFonts w:hint="eastAsia" w:ascii="Times New Roman" w:hAnsi="Times New Roman" w:eastAsia="宋体" w:cs="Times New Roman"/>
          <w:bCs/>
          <w:color w:val="000000" w:themeColor="text1"/>
          <w:sz w:val="28"/>
          <w:szCs w:val="28"/>
          <w14:textFill>
            <w14:solidFill>
              <w14:schemeClr w14:val="tx1"/>
            </w14:solidFill>
          </w14:textFill>
        </w:rPr>
        <w:t>年</w:t>
      </w:r>
      <w:r>
        <w:rPr>
          <w:rFonts w:ascii="Times New Roman" w:hAnsi="Times New Roman" w:eastAsia="宋体" w:cs="Times New Roman"/>
          <w:bCs/>
          <w:color w:val="000000" w:themeColor="text1"/>
          <w:sz w:val="28"/>
          <w:szCs w:val="28"/>
          <w14:textFill>
            <w14:solidFill>
              <w14:schemeClr w14:val="tx1"/>
            </w14:solidFill>
          </w14:textFill>
        </w:rPr>
        <w:t>5-6</w:t>
      </w:r>
      <w:r>
        <w:rPr>
          <w:rFonts w:hint="eastAsia" w:ascii="Times New Roman" w:hAnsi="Times New Roman" w:eastAsia="宋体" w:cs="Times New Roman"/>
          <w:bCs/>
          <w:color w:val="000000" w:themeColor="text1"/>
          <w:sz w:val="28"/>
          <w:szCs w:val="28"/>
          <w14:textFill>
            <w14:solidFill>
              <w14:schemeClr w14:val="tx1"/>
            </w14:solidFill>
          </w14:textFill>
        </w:rPr>
        <w:t>月，标准起草工作组查阅了国际、国内相关研究和标准制定情况，并对相关研究成果进行了梳理、对比和分析。在此是基础上，标准起草工作组重点分析了前期的试验数据，根据农业行业标准起草的新要求、新规定，讨论形成了标准框架。</w:t>
      </w:r>
    </w:p>
    <w:p>
      <w:pPr>
        <w:pStyle w:val="3"/>
        <w:spacing w:before="0" w:after="0" w:line="360" w:lineRule="auto"/>
        <w:ind w:firstLine="562" w:firstLineChars="200"/>
        <w:rPr>
          <w:rFonts w:ascii="Times New Roman" w:hAnsi="Times New Roman" w:eastAsia="楷体" w:cs="Times New Roman"/>
          <w:sz w:val="28"/>
          <w:szCs w:val="28"/>
        </w:rPr>
      </w:pPr>
      <w:bookmarkStart w:id="30" w:name="_Toc12030"/>
      <w:bookmarkStart w:id="31" w:name="_Toc32655"/>
      <w:bookmarkStart w:id="32" w:name="_Toc25462"/>
      <w:bookmarkStart w:id="33" w:name="_Toc10663"/>
      <w:bookmarkStart w:id="34" w:name="_Toc25477"/>
      <w:r>
        <w:rPr>
          <w:rFonts w:ascii="Times New Roman" w:hAnsi="Times New Roman" w:eastAsia="楷体" w:cs="Times New Roman"/>
          <w:sz w:val="28"/>
          <w:szCs w:val="28"/>
        </w:rPr>
        <w:t>（三）起草标准文本</w:t>
      </w:r>
      <w:bookmarkEnd w:id="30"/>
      <w:bookmarkEnd w:id="31"/>
      <w:bookmarkEnd w:id="32"/>
      <w:bookmarkEnd w:id="33"/>
      <w:bookmarkEnd w:id="34"/>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Cs/>
          <w:color w:val="000000" w:themeColor="text1"/>
          <w:sz w:val="28"/>
          <w:szCs w:val="28"/>
          <w14:textFill>
            <w14:solidFill>
              <w14:schemeClr w14:val="tx1"/>
            </w14:solidFill>
          </w14:textFill>
        </w:rPr>
        <w:t>2021</w:t>
      </w:r>
      <w:r>
        <w:rPr>
          <w:rFonts w:hint="eastAsia" w:ascii="Times New Roman" w:hAnsi="Times New Roman" w:eastAsia="宋体" w:cs="Times New Roman"/>
          <w:bCs/>
          <w:color w:val="000000" w:themeColor="text1"/>
          <w:sz w:val="28"/>
          <w:szCs w:val="28"/>
          <w14:textFill>
            <w14:solidFill>
              <w14:schemeClr w14:val="tx1"/>
            </w14:solidFill>
          </w14:textFill>
        </w:rPr>
        <w:t>年</w:t>
      </w:r>
      <w:r>
        <w:rPr>
          <w:rFonts w:ascii="Times New Roman" w:hAnsi="Times New Roman" w:eastAsia="宋体" w:cs="Times New Roman"/>
          <w:bCs/>
          <w:color w:val="000000" w:themeColor="text1"/>
          <w:sz w:val="28"/>
          <w:szCs w:val="28"/>
          <w14:textFill>
            <w14:solidFill>
              <w14:schemeClr w14:val="tx1"/>
            </w14:solidFill>
          </w14:textFill>
        </w:rPr>
        <w:t>7-9</w:t>
      </w:r>
      <w:r>
        <w:rPr>
          <w:rFonts w:hint="eastAsia" w:ascii="Times New Roman" w:hAnsi="Times New Roman" w:eastAsia="宋体" w:cs="Times New Roman"/>
          <w:bCs/>
          <w:color w:val="000000" w:themeColor="text1"/>
          <w:sz w:val="28"/>
          <w:szCs w:val="28"/>
          <w14:textFill>
            <w14:solidFill>
              <w14:schemeClr w14:val="tx1"/>
            </w14:solidFill>
          </w14:textFill>
        </w:rPr>
        <w:t>月，标准起草工作组查阅了标准制定的有关文件，按照标准的格式、内容、术语表达等要求，在标准编写中严格遵循《标准化工作导则》</w:t>
      </w:r>
      <w:r>
        <w:rPr>
          <w:rFonts w:ascii="Times New Roman" w:hAnsi="Times New Roman" w:eastAsia="宋体" w:cs="Times New Roman"/>
          <w:bCs/>
          <w:color w:val="000000" w:themeColor="text1"/>
          <w:sz w:val="28"/>
          <w:szCs w:val="28"/>
          <w14:textFill>
            <w14:solidFill>
              <w14:schemeClr w14:val="tx1"/>
            </w14:solidFill>
          </w14:textFill>
        </w:rPr>
        <w:t>GB/T1.1-2020</w:t>
      </w:r>
      <w:r>
        <w:rPr>
          <w:rFonts w:hint="eastAsia" w:ascii="Times New Roman" w:hAnsi="Times New Roman" w:eastAsia="宋体" w:cs="Times New Roman"/>
          <w:bCs/>
          <w:color w:val="000000" w:themeColor="text1"/>
          <w:sz w:val="28"/>
          <w:szCs w:val="28"/>
          <w14:textFill>
            <w14:solidFill>
              <w14:schemeClr w14:val="tx1"/>
            </w14:solidFill>
          </w14:textFill>
        </w:rPr>
        <w:t>所规定的标准编写规定。特别是在本标准的主要技术内容方面，标准起草工作组收集了大量文献和试验中取得或所使用的害虫抗性评价方法及抗性等级分类，结合标准起草工作组前期的研究调查成果，对抗性评价方法及等级分类等技术指标进行了完善，规范了苜蓿主要蓟马抗性评价技术方法，形成了本标准的初稿。后又经多次修改完善，形成了标准的征求意见稿。</w:t>
      </w:r>
    </w:p>
    <w:p>
      <w:pPr>
        <w:pStyle w:val="3"/>
        <w:spacing w:before="0" w:after="0" w:line="360" w:lineRule="auto"/>
        <w:ind w:firstLine="562" w:firstLineChars="200"/>
        <w:rPr>
          <w:rFonts w:ascii="Times New Roman" w:hAnsi="Times New Roman" w:eastAsia="楷体" w:cs="Times New Roman"/>
          <w:sz w:val="28"/>
          <w:szCs w:val="28"/>
        </w:rPr>
      </w:pPr>
      <w:bookmarkStart w:id="35" w:name="_Toc3409"/>
      <w:bookmarkStart w:id="36" w:name="_Toc22432"/>
      <w:bookmarkStart w:id="37" w:name="_Toc20128"/>
      <w:bookmarkStart w:id="38" w:name="_Toc4370"/>
      <w:bookmarkStart w:id="39" w:name="_Toc31482"/>
      <w:r>
        <w:rPr>
          <w:rFonts w:ascii="Times New Roman" w:hAnsi="Times New Roman" w:eastAsia="楷体" w:cs="Times New Roman"/>
          <w:sz w:val="28"/>
          <w:szCs w:val="28"/>
        </w:rPr>
        <w:t>（四）定向征求意见</w:t>
      </w:r>
      <w:bookmarkEnd w:id="35"/>
      <w:bookmarkEnd w:id="36"/>
      <w:bookmarkEnd w:id="37"/>
      <w:bookmarkEnd w:id="38"/>
      <w:bookmarkEnd w:id="39"/>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Cs/>
          <w:color w:val="000000" w:themeColor="text1"/>
          <w:sz w:val="28"/>
          <w:szCs w:val="28"/>
          <w14:textFill>
            <w14:solidFill>
              <w14:schemeClr w14:val="tx1"/>
            </w14:solidFill>
          </w14:textFill>
        </w:rPr>
        <w:t>2021</w:t>
      </w:r>
      <w:r>
        <w:rPr>
          <w:rFonts w:hint="eastAsia" w:ascii="Times New Roman" w:hAnsi="Times New Roman" w:eastAsia="宋体" w:cs="Times New Roman"/>
          <w:bCs/>
          <w:color w:val="000000" w:themeColor="text1"/>
          <w:sz w:val="28"/>
          <w:szCs w:val="28"/>
          <w14:textFill>
            <w14:solidFill>
              <w14:schemeClr w14:val="tx1"/>
            </w14:solidFill>
          </w14:textFill>
        </w:rPr>
        <w:t>年</w:t>
      </w:r>
      <w:r>
        <w:rPr>
          <w:rFonts w:ascii="Times New Roman" w:hAnsi="Times New Roman" w:eastAsia="宋体" w:cs="Times New Roman"/>
          <w:bCs/>
          <w:color w:val="000000" w:themeColor="text1"/>
          <w:sz w:val="28"/>
          <w:szCs w:val="28"/>
          <w14:textFill>
            <w14:solidFill>
              <w14:schemeClr w14:val="tx1"/>
            </w14:solidFill>
          </w14:textFill>
        </w:rPr>
        <w:t>10</w:t>
      </w:r>
      <w:r>
        <w:rPr>
          <w:rFonts w:hint="eastAsia" w:ascii="Times New Roman" w:hAnsi="Times New Roman" w:eastAsia="宋体" w:cs="Times New Roman"/>
          <w:bCs/>
          <w:color w:val="000000" w:themeColor="text1"/>
          <w:sz w:val="28"/>
          <w:szCs w:val="28"/>
          <w14:textFill>
            <w14:solidFill>
              <w14:schemeClr w14:val="tx1"/>
            </w14:solidFill>
          </w14:textFill>
        </w:rPr>
        <w:t>月，标准起草工作组组织对本标准的编制说明和标准文本进行函审，征求意见。共发函</w:t>
      </w:r>
      <w:r>
        <w:rPr>
          <w:rFonts w:ascii="Times New Roman" w:hAnsi="Times New Roman" w:eastAsia="宋体" w:cs="Times New Roman"/>
          <w:bCs/>
          <w:color w:val="000000" w:themeColor="text1"/>
          <w:sz w:val="28"/>
          <w:szCs w:val="28"/>
          <w14:textFill>
            <w14:solidFill>
              <w14:schemeClr w14:val="tx1"/>
            </w14:solidFill>
          </w14:textFill>
        </w:rPr>
        <w:t>25</w:t>
      </w:r>
      <w:r>
        <w:rPr>
          <w:rFonts w:hint="eastAsia" w:ascii="Times New Roman" w:hAnsi="Times New Roman" w:eastAsia="宋体" w:cs="Times New Roman"/>
          <w:bCs/>
          <w:color w:val="000000" w:themeColor="text1"/>
          <w:sz w:val="28"/>
          <w:szCs w:val="28"/>
          <w14:textFill>
            <w14:solidFill>
              <w14:schemeClr w14:val="tx1"/>
            </w14:solidFill>
          </w14:textFill>
        </w:rPr>
        <w:t>个单位，广泛征求相关教学、科研、管理、技术推广和企业专业技术人员的意见建议。函审期间，共收到</w:t>
      </w:r>
      <w:r>
        <w:rPr>
          <w:rFonts w:ascii="Times New Roman" w:hAnsi="Times New Roman" w:eastAsia="宋体" w:cs="Times New Roman"/>
          <w:bCs/>
          <w:color w:val="000000" w:themeColor="text1"/>
          <w:sz w:val="28"/>
          <w:szCs w:val="28"/>
          <w14:textFill>
            <w14:solidFill>
              <w14:schemeClr w14:val="tx1"/>
            </w14:solidFill>
          </w14:textFill>
        </w:rPr>
        <w:t>22</w:t>
      </w:r>
      <w:r>
        <w:rPr>
          <w:rFonts w:hint="eastAsia" w:ascii="Times New Roman" w:hAnsi="Times New Roman" w:eastAsia="宋体" w:cs="Times New Roman"/>
          <w:bCs/>
          <w:color w:val="000000" w:themeColor="text1"/>
          <w:sz w:val="28"/>
          <w:szCs w:val="28"/>
          <w14:textFill>
            <w14:solidFill>
              <w14:schemeClr w14:val="tx1"/>
            </w14:solidFill>
          </w14:textFill>
        </w:rPr>
        <w:t>个单位回函，其中回函并有意见建议的单位</w:t>
      </w:r>
      <w:r>
        <w:rPr>
          <w:rFonts w:ascii="Times New Roman" w:hAnsi="Times New Roman" w:eastAsia="宋体" w:cs="Times New Roman"/>
          <w:bCs/>
          <w:color w:val="000000" w:themeColor="text1"/>
          <w:sz w:val="28"/>
          <w:szCs w:val="28"/>
          <w14:textFill>
            <w14:solidFill>
              <w14:schemeClr w14:val="tx1"/>
            </w14:solidFill>
          </w14:textFill>
        </w:rPr>
        <w:t>16</w:t>
      </w:r>
      <w:r>
        <w:rPr>
          <w:rFonts w:hint="eastAsia" w:ascii="Times New Roman" w:hAnsi="Times New Roman" w:eastAsia="宋体" w:cs="Times New Roman"/>
          <w:bCs/>
          <w:color w:val="000000" w:themeColor="text1"/>
          <w:sz w:val="28"/>
          <w:szCs w:val="28"/>
          <w14:textFill>
            <w14:solidFill>
              <w14:schemeClr w14:val="tx1"/>
            </w14:solidFill>
          </w14:textFill>
        </w:rPr>
        <w:t>个，共收到意见建议</w:t>
      </w:r>
      <w:r>
        <w:rPr>
          <w:rFonts w:ascii="Times New Roman" w:hAnsi="Times New Roman" w:eastAsia="宋体" w:cs="Times New Roman"/>
          <w:bCs/>
          <w:color w:val="000000" w:themeColor="text1"/>
          <w:sz w:val="28"/>
          <w:szCs w:val="28"/>
          <w14:textFill>
            <w14:solidFill>
              <w14:schemeClr w14:val="tx1"/>
            </w14:solidFill>
          </w14:textFill>
        </w:rPr>
        <w:t>92</w:t>
      </w:r>
      <w:r>
        <w:rPr>
          <w:rFonts w:hint="eastAsia" w:ascii="Times New Roman" w:hAnsi="Times New Roman" w:eastAsia="宋体" w:cs="Times New Roman"/>
          <w:bCs/>
          <w:color w:val="000000" w:themeColor="text1"/>
          <w:sz w:val="28"/>
          <w:szCs w:val="28"/>
          <w14:textFill>
            <w14:solidFill>
              <w14:schemeClr w14:val="tx1"/>
            </w14:solidFill>
          </w14:textFill>
        </w:rPr>
        <w:t>条。针对函审反馈情况，标准起草工作组对函审见逐条分析研究，查阅、搜集相关内容的科学依据，对有争议的问题向有关方面专家咨询请教，对92条意见建议全部做了处理，共采纳</w:t>
      </w:r>
      <w:r>
        <w:rPr>
          <w:rFonts w:ascii="Times New Roman" w:hAnsi="Times New Roman" w:eastAsia="宋体" w:cs="Times New Roman"/>
          <w:bCs/>
          <w:color w:val="000000" w:themeColor="text1"/>
          <w:sz w:val="28"/>
          <w:szCs w:val="28"/>
          <w14:textFill>
            <w14:solidFill>
              <w14:schemeClr w14:val="tx1"/>
            </w14:solidFill>
          </w14:textFill>
        </w:rPr>
        <w:t>74</w:t>
      </w:r>
      <w:r>
        <w:rPr>
          <w:rFonts w:hint="eastAsia" w:ascii="Times New Roman" w:hAnsi="Times New Roman" w:eastAsia="宋体" w:cs="Times New Roman"/>
          <w:bCs/>
          <w:color w:val="000000" w:themeColor="text1"/>
          <w:sz w:val="28"/>
          <w:szCs w:val="28"/>
          <w14:textFill>
            <w14:solidFill>
              <w14:schemeClr w14:val="tx1"/>
            </w14:solidFill>
          </w14:textFill>
        </w:rPr>
        <w:t>条，不采纳</w:t>
      </w:r>
      <w:r>
        <w:rPr>
          <w:rFonts w:ascii="Times New Roman" w:hAnsi="Times New Roman" w:eastAsia="宋体" w:cs="Times New Roman"/>
          <w:bCs/>
          <w:color w:val="000000" w:themeColor="text1"/>
          <w:sz w:val="28"/>
          <w:szCs w:val="28"/>
          <w14:textFill>
            <w14:solidFill>
              <w14:schemeClr w14:val="tx1"/>
            </w14:solidFill>
          </w14:textFill>
        </w:rPr>
        <w:t>10</w:t>
      </w:r>
      <w:r>
        <w:rPr>
          <w:rFonts w:hint="eastAsia" w:ascii="Times New Roman" w:hAnsi="Times New Roman" w:eastAsia="宋体" w:cs="Times New Roman"/>
          <w:bCs/>
          <w:color w:val="000000" w:themeColor="text1"/>
          <w:sz w:val="28"/>
          <w:szCs w:val="28"/>
          <w14:textFill>
            <w14:solidFill>
              <w14:schemeClr w14:val="tx1"/>
            </w14:solidFill>
          </w14:textFill>
        </w:rPr>
        <w:t>条，部分采纳</w:t>
      </w:r>
      <w:r>
        <w:rPr>
          <w:rFonts w:ascii="Times New Roman" w:hAnsi="Times New Roman" w:eastAsia="宋体" w:cs="Times New Roman"/>
          <w:bCs/>
          <w:color w:val="000000" w:themeColor="text1"/>
          <w:sz w:val="28"/>
          <w:szCs w:val="28"/>
          <w14:textFill>
            <w14:solidFill>
              <w14:schemeClr w14:val="tx1"/>
            </w14:solidFill>
          </w14:textFill>
        </w:rPr>
        <w:t>8</w:t>
      </w:r>
      <w:r>
        <w:rPr>
          <w:rFonts w:hint="eastAsia" w:ascii="Times New Roman" w:hAnsi="Times New Roman" w:eastAsia="宋体" w:cs="Times New Roman"/>
          <w:bCs/>
          <w:color w:val="000000" w:themeColor="text1"/>
          <w:sz w:val="28"/>
          <w:szCs w:val="28"/>
          <w14:textFill>
            <w14:solidFill>
              <w14:schemeClr w14:val="tx1"/>
            </w14:solidFill>
          </w14:textFill>
        </w:rPr>
        <w:t>条，形成了标准的预审稿。</w:t>
      </w:r>
    </w:p>
    <w:p>
      <w:pPr>
        <w:pStyle w:val="3"/>
        <w:spacing w:before="0" w:after="0" w:line="360" w:lineRule="auto"/>
        <w:ind w:firstLine="562" w:firstLineChars="200"/>
        <w:rPr>
          <w:rFonts w:ascii="Times New Roman" w:hAnsi="Times New Roman" w:eastAsia="楷体" w:cs="Times New Roman"/>
          <w:sz w:val="28"/>
          <w:szCs w:val="28"/>
        </w:rPr>
      </w:pPr>
      <w:bookmarkStart w:id="40" w:name="_Toc18763"/>
      <w:bookmarkStart w:id="41" w:name="_Toc3132"/>
      <w:bookmarkStart w:id="42" w:name="_Toc30967"/>
      <w:bookmarkStart w:id="43" w:name="_Toc1334"/>
      <w:bookmarkStart w:id="44" w:name="_Toc22972"/>
      <w:r>
        <w:rPr>
          <w:rFonts w:ascii="Times New Roman" w:hAnsi="Times New Roman" w:eastAsia="楷体" w:cs="Times New Roman"/>
          <w:sz w:val="28"/>
          <w:szCs w:val="28"/>
        </w:rPr>
        <w:t>（五）预审</w:t>
      </w:r>
      <w:bookmarkEnd w:id="40"/>
      <w:bookmarkEnd w:id="41"/>
      <w:bookmarkEnd w:id="42"/>
      <w:bookmarkEnd w:id="43"/>
      <w:bookmarkEnd w:id="44"/>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Cs/>
          <w:color w:val="000000" w:themeColor="text1"/>
          <w:sz w:val="28"/>
          <w:szCs w:val="28"/>
          <w14:textFill>
            <w14:solidFill>
              <w14:schemeClr w14:val="tx1"/>
            </w14:solidFill>
          </w14:textFill>
        </w:rPr>
        <w:t>2022</w:t>
      </w:r>
      <w:r>
        <w:rPr>
          <w:rFonts w:hint="eastAsia" w:ascii="Times New Roman" w:hAnsi="Times New Roman" w:eastAsia="宋体" w:cs="Times New Roman"/>
          <w:bCs/>
          <w:color w:val="000000" w:themeColor="text1"/>
          <w:sz w:val="28"/>
          <w:szCs w:val="28"/>
          <w14:textFill>
            <w14:solidFill>
              <w14:schemeClr w14:val="tx1"/>
            </w14:solidFill>
          </w14:textFill>
        </w:rPr>
        <w:t>年</w:t>
      </w:r>
      <w:r>
        <w:rPr>
          <w:rFonts w:ascii="Times New Roman" w:hAnsi="Times New Roman" w:eastAsia="宋体" w:cs="Times New Roman"/>
          <w:bCs/>
          <w:color w:val="000000" w:themeColor="text1"/>
          <w:sz w:val="28"/>
          <w:szCs w:val="28"/>
          <w14:textFill>
            <w14:solidFill>
              <w14:schemeClr w14:val="tx1"/>
            </w14:solidFill>
          </w14:textFill>
        </w:rPr>
        <w:t>1</w:t>
      </w:r>
      <w:r>
        <w:rPr>
          <w:rFonts w:hint="eastAsia" w:ascii="Times New Roman" w:hAnsi="Times New Roman" w:eastAsia="宋体" w:cs="Times New Roman"/>
          <w:bCs/>
          <w:color w:val="000000" w:themeColor="text1"/>
          <w:sz w:val="28"/>
          <w:szCs w:val="28"/>
          <w14:textFill>
            <w14:solidFill>
              <w14:schemeClr w14:val="tx1"/>
            </w14:solidFill>
          </w14:textFill>
        </w:rPr>
        <w:t>月</w:t>
      </w:r>
      <w:r>
        <w:rPr>
          <w:rFonts w:ascii="Times New Roman" w:hAnsi="Times New Roman" w:eastAsia="宋体" w:cs="Times New Roman"/>
          <w:bCs/>
          <w:color w:val="000000" w:themeColor="text1"/>
          <w:sz w:val="28"/>
          <w:szCs w:val="28"/>
          <w14:textFill>
            <w14:solidFill>
              <w14:schemeClr w14:val="tx1"/>
            </w14:solidFill>
          </w14:textFill>
        </w:rPr>
        <w:t>17</w:t>
      </w:r>
      <w:r>
        <w:rPr>
          <w:rFonts w:hint="eastAsia" w:ascii="Times New Roman" w:hAnsi="Times New Roman" w:eastAsia="宋体" w:cs="Times New Roman"/>
          <w:bCs/>
          <w:color w:val="000000" w:themeColor="text1"/>
          <w:sz w:val="28"/>
          <w:szCs w:val="28"/>
          <w14:textFill>
            <w14:solidFill>
              <w14:schemeClr w14:val="tx1"/>
            </w14:solidFill>
          </w14:textFill>
        </w:rPr>
        <w:t>日，全国畜牧业标准化技术委员会组织有关专家召开标准预审视频会，对本标准进行了预审。预审专家组由张润志、张英俊、杨定、李志红、林克剑、高玉林、袁明龙、张育润、魏佩玲等九位专家组成。专家组对标准预审稿以及函审情况进行了认真研讨并提出修改意见，专家组认为原标准题目</w:t>
      </w:r>
      <w:r>
        <w:rPr>
          <w:rFonts w:hint="eastAsia" w:ascii="Times New Roman" w:hAnsi="Times New Roman" w:eastAsia="宋体" w:cs="Times New Roman"/>
          <w:sz w:val="28"/>
          <w:szCs w:val="28"/>
        </w:rPr>
        <w:t>《苜蓿品种抗蓟马性评价技术规程》</w:t>
      </w:r>
      <w:r>
        <w:rPr>
          <w:rFonts w:hint="eastAsia" w:ascii="Times New Roman" w:hAnsi="Times New Roman" w:eastAsia="宋体" w:cs="Times New Roman"/>
          <w:bCs/>
          <w:color w:val="000000" w:themeColor="text1"/>
          <w:sz w:val="28"/>
          <w:szCs w:val="28"/>
          <w14:textFill>
            <w14:solidFill>
              <w14:schemeClr w14:val="tx1"/>
            </w14:solidFill>
          </w14:textFill>
        </w:rPr>
        <w:t>不能涵盖所有的苜蓿蓟马品种，且苜蓿田发生蓟马种类主要包括牛角花齿蓟马</w:t>
      </w:r>
      <w:r>
        <w:rPr>
          <w:rFonts w:ascii="Times New Roman" w:hAnsi="Times New Roman" w:eastAsia="宋体" w:cs="Times New Roman"/>
          <w:bCs/>
          <w:color w:val="000000" w:themeColor="text1"/>
          <w:sz w:val="28"/>
          <w:szCs w:val="28"/>
          <w14:textFill>
            <w14:solidFill>
              <w14:schemeClr w14:val="tx1"/>
            </w14:solidFill>
          </w14:textFill>
        </w:rPr>
        <w:t>、花蓟马、烟蓟马、西花蓟马</w:t>
      </w:r>
      <w:r>
        <w:rPr>
          <w:rFonts w:hint="eastAsia" w:ascii="Times New Roman" w:hAnsi="Times New Roman" w:eastAsia="宋体" w:cs="Times New Roman"/>
          <w:bCs/>
          <w:color w:val="000000" w:themeColor="text1"/>
          <w:sz w:val="28"/>
          <w:szCs w:val="28"/>
          <w14:textFill>
            <w14:solidFill>
              <w14:schemeClr w14:val="tx1"/>
            </w14:solidFill>
          </w14:textFill>
        </w:rPr>
        <w:t>和</w:t>
      </w:r>
      <w:r>
        <w:rPr>
          <w:rFonts w:ascii="Times New Roman" w:hAnsi="Times New Roman" w:eastAsia="宋体" w:cs="Times New Roman"/>
          <w:bCs/>
          <w:color w:val="000000" w:themeColor="text1"/>
          <w:sz w:val="28"/>
          <w:szCs w:val="28"/>
          <w14:textFill>
            <w14:solidFill>
              <w14:schemeClr w14:val="tx1"/>
            </w14:solidFill>
          </w14:textFill>
        </w:rPr>
        <w:t>端带蓟马</w:t>
      </w:r>
      <w:r>
        <w:rPr>
          <w:rFonts w:hint="eastAsia" w:ascii="Times New Roman" w:hAnsi="Times New Roman" w:eastAsia="宋体" w:cs="Times New Roman"/>
          <w:bCs/>
          <w:color w:val="000000" w:themeColor="text1"/>
          <w:sz w:val="28"/>
          <w:szCs w:val="28"/>
          <w14:textFill>
            <w14:solidFill>
              <w14:schemeClr w14:val="tx1"/>
            </w14:solidFill>
          </w14:textFill>
        </w:rPr>
        <w:t>，建议标准题目修改为《苜蓿主要蓟马抗性评价技术规程》更为科学。预审期间，专家组共提出26条修改建议(预审</w:t>
      </w:r>
      <w:r>
        <w:rPr>
          <w:rFonts w:ascii="Times New Roman" w:hAnsi="Times New Roman" w:eastAsia="宋体" w:cs="Times New Roman"/>
          <w:bCs/>
          <w:color w:val="000000" w:themeColor="text1"/>
          <w:sz w:val="28"/>
          <w:szCs w:val="28"/>
          <w14:textFill>
            <w14:solidFill>
              <w14:schemeClr w14:val="tx1"/>
            </w14:solidFill>
          </w14:textFill>
        </w:rPr>
        <w:t>会</w:t>
      </w:r>
      <w:r>
        <w:rPr>
          <w:rFonts w:hint="eastAsia" w:ascii="Times New Roman" w:hAnsi="Times New Roman" w:eastAsia="宋体" w:cs="Times New Roman"/>
          <w:bCs/>
          <w:color w:val="000000" w:themeColor="text1"/>
          <w:sz w:val="28"/>
          <w:szCs w:val="28"/>
          <w14:textFill>
            <w14:solidFill>
              <w14:schemeClr w14:val="tx1"/>
            </w14:solidFill>
          </w14:textFill>
        </w:rPr>
        <w:t>专家</w:t>
      </w:r>
      <w:r>
        <w:rPr>
          <w:rFonts w:ascii="Times New Roman" w:hAnsi="Times New Roman" w:eastAsia="宋体" w:cs="Times New Roman"/>
          <w:bCs/>
          <w:color w:val="000000" w:themeColor="text1"/>
          <w:sz w:val="28"/>
          <w:szCs w:val="28"/>
          <w14:textFill>
            <w14:solidFill>
              <w14:schemeClr w14:val="tx1"/>
            </w14:solidFill>
          </w14:textFill>
        </w:rPr>
        <w:t>意见汇总处理表附后</w:t>
      </w:r>
      <w:r>
        <w:rPr>
          <w:rFonts w:hint="eastAsia" w:ascii="Times New Roman" w:hAnsi="Times New Roman" w:eastAsia="宋体" w:cs="Times New Roman"/>
          <w:bCs/>
          <w:color w:val="000000" w:themeColor="text1"/>
          <w:sz w:val="28"/>
          <w:szCs w:val="28"/>
          <w14:textFill>
            <w14:solidFill>
              <w14:schemeClr w14:val="tx1"/>
            </w14:solidFill>
          </w14:textFill>
        </w:rPr>
        <w:t>)，起草工作组对建议进行了逐条分析，全部采纳。</w:t>
      </w:r>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标准预审主要修改建议如下：</w:t>
      </w:r>
    </w:p>
    <w:p>
      <w:pPr>
        <w:spacing w:line="360" w:lineRule="auto"/>
        <w:ind w:firstLine="562" w:firstLineChars="2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1.</w:t>
      </w:r>
      <w:r>
        <w:rPr>
          <w:rFonts w:hint="eastAsia" w:ascii="Times New Roman" w:hAnsi="Times New Roman" w:eastAsia="宋体" w:cs="Times New Roman"/>
          <w:b/>
          <w:color w:val="000000" w:themeColor="text1"/>
          <w:sz w:val="28"/>
          <w:szCs w:val="28"/>
          <w14:textFill>
            <w14:solidFill>
              <w14:schemeClr w14:val="tx1"/>
            </w14:solidFill>
          </w14:textFill>
        </w:rPr>
        <w:t>题目修改为“苜蓿主要蓟马抗性评价技术规程”</w:t>
      </w:r>
      <w:r>
        <w:rPr>
          <w:rFonts w:hint="eastAsia" w:ascii="Times New Roman" w:hAnsi="Times New Roman" w:eastAsia="宋体" w:cs="Times New Roman"/>
          <w:bCs/>
          <w:color w:val="000000" w:themeColor="text1"/>
          <w:sz w:val="28"/>
          <w:szCs w:val="28"/>
          <w14:textFill>
            <w14:solidFill>
              <w14:schemeClr w14:val="tx1"/>
            </w14:solidFill>
          </w14:textFill>
        </w:rPr>
        <w:t>。</w:t>
      </w:r>
    </w:p>
    <w:p>
      <w:p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2.</w:t>
      </w:r>
      <w:r>
        <w:rPr>
          <w:rFonts w:hint="eastAsia" w:ascii="Times New Roman" w:hAnsi="Times New Roman" w:eastAsia="宋体" w:cs="Times New Roman"/>
          <w:b/>
          <w:color w:val="000000" w:themeColor="text1"/>
          <w:sz w:val="28"/>
          <w:szCs w:val="28"/>
          <w14:textFill>
            <w14:solidFill>
              <w14:schemeClr w14:val="tx1"/>
            </w14:solidFill>
          </w14:textFill>
        </w:rPr>
        <w:t>抗性指数测算依据进行细化。</w:t>
      </w:r>
    </w:p>
    <w:p>
      <w:pPr>
        <w:spacing w:line="360" w:lineRule="auto"/>
        <w:ind w:firstLine="562" w:firstLineChars="2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3.</w:t>
      </w:r>
      <w:r>
        <w:rPr>
          <w:rFonts w:hint="eastAsia" w:ascii="Times New Roman" w:hAnsi="Times New Roman" w:eastAsia="宋体" w:cs="Times New Roman"/>
          <w:b/>
          <w:color w:val="000000" w:themeColor="text1"/>
          <w:sz w:val="28"/>
          <w:szCs w:val="28"/>
          <w14:textFill>
            <w14:solidFill>
              <w14:schemeClr w14:val="tx1"/>
            </w14:solidFill>
          </w14:textFill>
        </w:rPr>
        <w:t>按</w:t>
      </w:r>
      <w:r>
        <w:rPr>
          <w:rFonts w:ascii="Times New Roman" w:hAnsi="Times New Roman" w:eastAsia="宋体" w:cs="Times New Roman"/>
          <w:b/>
          <w:color w:val="000000" w:themeColor="text1"/>
          <w:sz w:val="28"/>
          <w:szCs w:val="28"/>
          <w14:textFill>
            <w14:solidFill>
              <w14:schemeClr w14:val="tx1"/>
            </w14:solidFill>
          </w14:textFill>
        </w:rPr>
        <w:t>GB/T1.1</w:t>
      </w:r>
      <w:r>
        <w:rPr>
          <w:rFonts w:hint="eastAsia" w:ascii="Times New Roman" w:hAnsi="Times New Roman" w:eastAsia="宋体" w:cs="Times New Roman"/>
          <w:b/>
          <w:color w:val="000000" w:themeColor="text1"/>
          <w:sz w:val="28"/>
          <w:szCs w:val="28"/>
          <w14:textFill>
            <w14:solidFill>
              <w14:schemeClr w14:val="tx1"/>
            </w14:solidFill>
          </w14:textFill>
        </w:rPr>
        <w:t>、</w:t>
      </w:r>
      <w:r>
        <w:rPr>
          <w:rFonts w:ascii="Times New Roman" w:hAnsi="Times New Roman" w:eastAsia="宋体" w:cs="Times New Roman"/>
          <w:b/>
          <w:color w:val="000000" w:themeColor="text1"/>
          <w:sz w:val="28"/>
          <w:szCs w:val="28"/>
          <w14:textFill>
            <w14:solidFill>
              <w14:schemeClr w14:val="tx1"/>
            </w14:solidFill>
          </w14:textFill>
        </w:rPr>
        <w:t xml:space="preserve">GB/T20001.6 </w:t>
      </w:r>
      <w:r>
        <w:rPr>
          <w:rFonts w:hint="eastAsia" w:ascii="Times New Roman" w:hAnsi="Times New Roman" w:eastAsia="宋体" w:cs="Times New Roman"/>
          <w:b/>
          <w:color w:val="000000" w:themeColor="text1"/>
          <w:sz w:val="28"/>
          <w:szCs w:val="28"/>
          <w14:textFill>
            <w14:solidFill>
              <w14:schemeClr w14:val="tx1"/>
            </w14:solidFill>
          </w14:textFill>
        </w:rPr>
        <w:t>的要求进一步规范标准文本。</w:t>
      </w:r>
      <w:r>
        <w:rPr>
          <w:rFonts w:ascii="Times New Roman" w:hAnsi="Times New Roman" w:eastAsia="宋体" w:cs="Times New Roman"/>
          <w:bCs/>
          <w:color w:val="000000" w:themeColor="text1"/>
          <w:sz w:val="28"/>
          <w:szCs w:val="28"/>
          <w14:textFill>
            <w14:solidFill>
              <w14:schemeClr w14:val="tx1"/>
            </w14:solidFill>
          </w14:textFill>
        </w:rPr>
        <w:t xml:space="preserve"> </w:t>
      </w:r>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预审</w:t>
      </w:r>
      <w:r>
        <w:rPr>
          <w:rFonts w:ascii="Times New Roman" w:hAnsi="Times New Roman" w:eastAsia="宋体" w:cs="Times New Roman"/>
          <w:bCs/>
          <w:color w:val="000000" w:themeColor="text1"/>
          <w:sz w:val="28"/>
          <w:szCs w:val="28"/>
          <w14:textFill>
            <w14:solidFill>
              <w14:schemeClr w14:val="tx1"/>
            </w14:solidFill>
          </w14:textFill>
        </w:rPr>
        <w:t>专家组一致同意通过</w:t>
      </w:r>
      <w:r>
        <w:rPr>
          <w:rFonts w:hint="eastAsia" w:ascii="Times New Roman" w:hAnsi="Times New Roman" w:eastAsia="宋体" w:cs="Times New Roman"/>
          <w:bCs/>
          <w:color w:val="000000" w:themeColor="text1"/>
          <w:sz w:val="28"/>
          <w:szCs w:val="28"/>
          <w14:textFill>
            <w14:solidFill>
              <w14:schemeClr w14:val="tx1"/>
            </w14:solidFill>
          </w14:textFill>
        </w:rPr>
        <w:t>预审</w:t>
      </w:r>
      <w:r>
        <w:rPr>
          <w:rFonts w:ascii="Times New Roman" w:hAnsi="Times New Roman" w:eastAsia="宋体" w:cs="Times New Roman"/>
          <w:bCs/>
          <w:color w:val="000000" w:themeColor="text1"/>
          <w:sz w:val="28"/>
          <w:szCs w:val="28"/>
          <w14:textFill>
            <w14:solidFill>
              <w14:schemeClr w14:val="tx1"/>
            </w14:solidFill>
          </w14:textFill>
        </w:rPr>
        <w:t>，建议标准</w:t>
      </w:r>
      <w:r>
        <w:rPr>
          <w:rFonts w:hint="eastAsia" w:ascii="Times New Roman" w:hAnsi="Times New Roman" w:eastAsia="宋体" w:cs="Times New Roman"/>
          <w:bCs/>
          <w:color w:val="000000" w:themeColor="text1"/>
          <w:sz w:val="28"/>
          <w:szCs w:val="28"/>
          <w14:textFill>
            <w14:solidFill>
              <w14:schemeClr w14:val="tx1"/>
            </w14:solidFill>
          </w14:textFill>
        </w:rPr>
        <w:t>起草工作组</w:t>
      </w:r>
      <w:r>
        <w:rPr>
          <w:rFonts w:ascii="Times New Roman" w:hAnsi="Times New Roman" w:eastAsia="宋体" w:cs="Times New Roman"/>
          <w:bCs/>
          <w:color w:val="000000" w:themeColor="text1"/>
          <w:sz w:val="28"/>
          <w:szCs w:val="28"/>
          <w14:textFill>
            <w14:solidFill>
              <w14:schemeClr w14:val="tx1"/>
            </w14:solidFill>
          </w14:textFill>
        </w:rPr>
        <w:t>按照上述意见进一步修改后</w:t>
      </w:r>
      <w:r>
        <w:rPr>
          <w:rFonts w:hint="eastAsia" w:ascii="Times New Roman" w:hAnsi="Times New Roman" w:eastAsia="宋体" w:cs="Times New Roman"/>
          <w:bCs/>
          <w:color w:val="000000" w:themeColor="text1"/>
          <w:sz w:val="28"/>
          <w:szCs w:val="28"/>
          <w14:textFill>
            <w14:solidFill>
              <w14:schemeClr w14:val="tx1"/>
            </w14:solidFill>
          </w14:textFill>
        </w:rPr>
        <w:t>，</w:t>
      </w:r>
      <w:r>
        <w:rPr>
          <w:rFonts w:ascii="Times New Roman" w:hAnsi="Times New Roman" w:eastAsia="宋体" w:cs="Times New Roman"/>
          <w:bCs/>
          <w:color w:val="000000" w:themeColor="text1"/>
          <w:sz w:val="28"/>
          <w:szCs w:val="28"/>
          <w14:textFill>
            <w14:solidFill>
              <w14:schemeClr w14:val="tx1"/>
            </w14:solidFill>
          </w14:textFill>
        </w:rPr>
        <w:t>形成公开征求意见稿，报全国畜牧业标准化技术委员会秘书处。</w:t>
      </w:r>
    </w:p>
    <w:p>
      <w:pPr>
        <w:pStyle w:val="2"/>
        <w:spacing w:before="0" w:after="0" w:line="360" w:lineRule="auto"/>
        <w:ind w:firstLine="560" w:firstLineChars="200"/>
        <w:rPr>
          <w:rFonts w:ascii="Times New Roman" w:hAnsi="Times New Roman" w:cs="Times New Roman"/>
          <w:sz w:val="28"/>
          <w:szCs w:val="28"/>
        </w:rPr>
      </w:pPr>
      <w:bookmarkStart w:id="45" w:name="_Toc3086"/>
      <w:bookmarkStart w:id="46" w:name="_Toc2808"/>
      <w:bookmarkStart w:id="47" w:name="_Toc13853"/>
      <w:bookmarkStart w:id="48" w:name="_Toc27703"/>
      <w:bookmarkStart w:id="49" w:name="_Toc20292"/>
      <w:bookmarkStart w:id="50" w:name="_Toc11689"/>
      <w:r>
        <w:rPr>
          <w:rFonts w:ascii="Times New Roman" w:hAnsi="Times New Roman" w:cs="Times New Roman"/>
          <w:sz w:val="28"/>
          <w:szCs w:val="28"/>
        </w:rPr>
        <w:t>三、标准编制原则和主要技术内容确定的依据</w:t>
      </w:r>
      <w:bookmarkEnd w:id="45"/>
      <w:bookmarkEnd w:id="46"/>
      <w:bookmarkEnd w:id="47"/>
      <w:bookmarkEnd w:id="48"/>
      <w:bookmarkEnd w:id="49"/>
      <w:bookmarkEnd w:id="50"/>
    </w:p>
    <w:p>
      <w:pPr>
        <w:pStyle w:val="3"/>
        <w:spacing w:before="0" w:after="0" w:line="360" w:lineRule="auto"/>
        <w:ind w:firstLine="562" w:firstLineChars="200"/>
        <w:rPr>
          <w:rFonts w:ascii="Times New Roman" w:hAnsi="Times New Roman" w:eastAsia="楷体" w:cs="Times New Roman"/>
          <w:sz w:val="28"/>
          <w:szCs w:val="28"/>
        </w:rPr>
      </w:pPr>
      <w:bookmarkStart w:id="51" w:name="_Toc10464"/>
      <w:bookmarkStart w:id="52" w:name="_Toc32382"/>
      <w:bookmarkStart w:id="53" w:name="_Toc270"/>
      <w:bookmarkStart w:id="54" w:name="_Toc1304"/>
      <w:bookmarkStart w:id="55" w:name="_Toc29272"/>
      <w:r>
        <w:rPr>
          <w:rFonts w:ascii="Times New Roman" w:hAnsi="Times New Roman" w:eastAsia="楷体" w:cs="Times New Roman"/>
          <w:sz w:val="28"/>
          <w:szCs w:val="28"/>
        </w:rPr>
        <w:t>（一）标准编制原则</w:t>
      </w:r>
      <w:bookmarkEnd w:id="51"/>
      <w:bookmarkEnd w:id="52"/>
      <w:bookmarkEnd w:id="53"/>
      <w:bookmarkEnd w:id="54"/>
      <w:bookmarkEnd w:id="55"/>
    </w:p>
    <w:p>
      <w:pPr>
        <w:spacing w:line="360" w:lineRule="auto"/>
        <w:ind w:firstLine="700" w:firstLineChars="25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本标准的编制原则是：在其适用范围内，内容力求完整准确，易于理解，便于操作。</w:t>
      </w:r>
    </w:p>
    <w:p>
      <w:pPr>
        <w:spacing w:line="360" w:lineRule="auto"/>
        <w:ind w:left="210" w:leftChars="100"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本标准根据起草工作组所在单位和起草人员多年对苜蓿种植和木系蓟马发生与防治的研究和实践，结合我国主要苜蓿种植区域实际分布情况，力求内容通俗易懂，具有科学性、先进性、实用性和可操作性。本标准的编制严格遵循《中华人民共和国标准化法》和《标准化实施条例》，按照《标准化工作导则</w:t>
      </w:r>
      <w:r>
        <w:rPr>
          <w:rFonts w:ascii="Times New Roman" w:hAnsi="Times New Roman" w:eastAsia="宋体" w:cs="Times New Roman"/>
          <w:bCs/>
          <w:color w:val="000000" w:themeColor="text1"/>
          <w:sz w:val="28"/>
          <w:szCs w:val="28"/>
          <w14:textFill>
            <w14:solidFill>
              <w14:schemeClr w14:val="tx1"/>
            </w14:solidFill>
          </w14:textFill>
        </w:rPr>
        <w:t xml:space="preserve"> </w:t>
      </w:r>
      <w:r>
        <w:rPr>
          <w:rFonts w:hint="eastAsia" w:ascii="Times New Roman" w:hAnsi="Times New Roman" w:eastAsia="宋体" w:cs="Times New Roman"/>
          <w:bCs/>
          <w:color w:val="000000" w:themeColor="text1"/>
          <w:sz w:val="28"/>
          <w:szCs w:val="28"/>
          <w14:textFill>
            <w14:solidFill>
              <w14:schemeClr w14:val="tx1"/>
            </w14:solidFill>
          </w14:textFill>
        </w:rPr>
        <w:t>第</w:t>
      </w:r>
      <w:r>
        <w:rPr>
          <w:rFonts w:ascii="Times New Roman" w:hAnsi="Times New Roman" w:eastAsia="宋体" w:cs="Times New Roman"/>
          <w:bCs/>
          <w:color w:val="000000" w:themeColor="text1"/>
          <w:sz w:val="28"/>
          <w:szCs w:val="28"/>
          <w14:textFill>
            <w14:solidFill>
              <w14:schemeClr w14:val="tx1"/>
            </w14:solidFill>
          </w14:textFill>
        </w:rPr>
        <w:t>1</w:t>
      </w:r>
      <w:r>
        <w:rPr>
          <w:rFonts w:hint="eastAsia" w:ascii="Times New Roman" w:hAnsi="Times New Roman" w:eastAsia="宋体" w:cs="Times New Roman"/>
          <w:bCs/>
          <w:color w:val="000000" w:themeColor="text1"/>
          <w:sz w:val="28"/>
          <w:szCs w:val="28"/>
          <w14:textFill>
            <w14:solidFill>
              <w14:schemeClr w14:val="tx1"/>
            </w14:solidFill>
          </w14:textFill>
        </w:rPr>
        <w:t>部分：标准化文件的结构和起草规则》中规定的规则进行编制和撰写。本标准充分结合现有基础标准的有关条款，使标准间的相互衔接、相互协调。</w:t>
      </w:r>
    </w:p>
    <w:p>
      <w:pPr>
        <w:pStyle w:val="3"/>
        <w:spacing w:before="0" w:after="0" w:line="360" w:lineRule="auto"/>
        <w:ind w:firstLine="562" w:firstLineChars="200"/>
        <w:rPr>
          <w:rFonts w:ascii="Times New Roman" w:hAnsi="Times New Roman" w:eastAsia="楷体" w:cs="Times New Roman"/>
          <w:sz w:val="28"/>
          <w:szCs w:val="28"/>
        </w:rPr>
      </w:pPr>
      <w:bookmarkStart w:id="56" w:name="_Toc31788"/>
      <w:bookmarkStart w:id="57" w:name="_Toc10937"/>
      <w:bookmarkStart w:id="58" w:name="_Toc10773"/>
      <w:bookmarkStart w:id="59" w:name="_Toc32507"/>
      <w:bookmarkStart w:id="60" w:name="_Toc26789"/>
      <w:r>
        <w:rPr>
          <w:rFonts w:ascii="Times New Roman" w:hAnsi="Times New Roman" w:eastAsia="楷体" w:cs="Times New Roman"/>
          <w:sz w:val="28"/>
          <w:szCs w:val="28"/>
        </w:rPr>
        <w:t>（二）主要技术内容确定的依据</w:t>
      </w:r>
      <w:bookmarkEnd w:id="56"/>
      <w:bookmarkEnd w:id="57"/>
      <w:bookmarkEnd w:id="58"/>
      <w:bookmarkEnd w:id="59"/>
      <w:bookmarkEnd w:id="60"/>
    </w:p>
    <w:p>
      <w:pPr>
        <w:pStyle w:val="4"/>
        <w:spacing w:before="0" w:after="0" w:line="360" w:lineRule="auto"/>
        <w:ind w:firstLine="562" w:firstLineChars="200"/>
        <w:rPr>
          <w:rFonts w:ascii="Times New Roman" w:hAnsi="Times New Roman" w:eastAsia="宋体" w:cs="Times New Roman"/>
          <w:sz w:val="28"/>
          <w:szCs w:val="28"/>
        </w:rPr>
      </w:pPr>
      <w:bookmarkStart w:id="61" w:name="_Toc17760"/>
      <w:bookmarkStart w:id="62" w:name="_Toc31172"/>
      <w:bookmarkStart w:id="63" w:name="_Toc10049"/>
      <w:bookmarkStart w:id="64" w:name="_Toc12856"/>
      <w:bookmarkStart w:id="65" w:name="_Toc28683"/>
      <w:r>
        <w:rPr>
          <w:rFonts w:ascii="Times New Roman" w:hAnsi="Times New Roman" w:eastAsia="宋体" w:cs="Times New Roman"/>
          <w:sz w:val="28"/>
          <w:szCs w:val="28"/>
        </w:rPr>
        <w:t>1</w:t>
      </w:r>
      <w:r>
        <w:rPr>
          <w:rFonts w:hint="eastAsia" w:ascii="Times New Roman" w:hAnsi="Times New Roman" w:eastAsia="宋体" w:cs="Times New Roman"/>
          <w:sz w:val="28"/>
          <w:szCs w:val="28"/>
        </w:rPr>
        <w:t>.</w:t>
      </w:r>
      <w:r>
        <w:rPr>
          <w:rFonts w:ascii="Times New Roman" w:hAnsi="Times New Roman" w:eastAsia="宋体" w:cs="Times New Roman"/>
          <w:sz w:val="28"/>
          <w:szCs w:val="28"/>
        </w:rPr>
        <w:t>术语和定义</w:t>
      </w:r>
      <w:bookmarkEnd w:id="61"/>
      <w:bookmarkEnd w:id="62"/>
      <w:bookmarkEnd w:id="63"/>
      <w:bookmarkEnd w:id="64"/>
      <w:bookmarkEnd w:id="65"/>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为了便于读者理解本标准术语内涵，便于操作使用，标准分别对蓟马抗性评价、试验田、蓟马抗性指数等术语进行了定义。术语和定义的来源和依据分别如下：</w:t>
      </w:r>
    </w:p>
    <w:p>
      <w:p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1）蓟马抗性评价定义</w:t>
      </w:r>
    </w:p>
    <w:p>
      <w:p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标准</w:t>
      </w:r>
      <w:r>
        <w:rPr>
          <w:rFonts w:ascii="Times New Roman" w:hAnsi="Times New Roman" w:eastAsia="宋体" w:cs="Times New Roman"/>
          <w:b/>
          <w:color w:val="000000" w:themeColor="text1"/>
          <w:sz w:val="28"/>
          <w:szCs w:val="28"/>
          <w14:textFill>
            <w14:solidFill>
              <w14:schemeClr w14:val="tx1"/>
            </w14:solidFill>
          </w14:textFill>
        </w:rPr>
        <w:t>内容：</w:t>
      </w:r>
    </w:p>
    <w:p>
      <w:pPr>
        <w:spacing w:line="360" w:lineRule="auto"/>
        <w:ind w:firstLine="560" w:firstLineChars="200"/>
        <w:jc w:val="left"/>
        <w:rPr>
          <w:rFonts w:ascii="Times New Roman" w:hAnsi="Times New Roman" w:eastAsia="宋体" w:cs="Times New Roman"/>
          <w:color w:val="000000"/>
          <w:kern w:val="0"/>
          <w:sz w:val="28"/>
          <w:szCs w:val="28"/>
        </w:rPr>
      </w:pPr>
      <w:r>
        <w:rPr>
          <w:rFonts w:ascii="Times New Roman" w:hAnsi="Times New Roman" w:eastAsia="宋体" w:cs="Times New Roman"/>
          <w:color w:val="000000"/>
          <w:kern w:val="0"/>
          <w:sz w:val="28"/>
          <w:szCs w:val="28"/>
        </w:rPr>
        <w:t>蓟马抗性评价evaluation of resistance to thrips</w:t>
      </w:r>
    </w:p>
    <w:p>
      <w:pPr>
        <w:spacing w:line="360" w:lineRule="auto"/>
        <w:ind w:firstLine="560" w:firstLineChars="200"/>
        <w:jc w:val="left"/>
        <w:rPr>
          <w:rFonts w:ascii="Times New Roman" w:hAnsi="Times New Roman" w:eastAsia="宋体" w:cs="Times New Roman"/>
          <w:b/>
          <w:bCs/>
          <w:color w:val="000000"/>
          <w:sz w:val="28"/>
          <w:szCs w:val="28"/>
        </w:rPr>
      </w:pPr>
      <w:r>
        <w:rPr>
          <w:rFonts w:ascii="Times New Roman" w:hAnsi="Times New Roman" w:eastAsia="宋体" w:cs="Times New Roman"/>
          <w:color w:val="000000"/>
          <w:kern w:val="0"/>
          <w:sz w:val="28"/>
          <w:szCs w:val="28"/>
        </w:rPr>
        <w:t>采用适宜技术方法评价苜蓿品种对蓟马的抗性水平。</w:t>
      </w:r>
    </w:p>
    <w:p>
      <w:pPr>
        <w:spacing w:line="360" w:lineRule="auto"/>
        <w:ind w:firstLine="562" w:firstLineChars="2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理由及依据：</w:t>
      </w:r>
      <w:r>
        <w:rPr>
          <w:rFonts w:ascii="Times New Roman" w:hAnsi="Times New Roman" w:eastAsia="宋体" w:cs="Times New Roman"/>
          <w:bCs/>
          <w:color w:val="000000" w:themeColor="text1"/>
          <w:sz w:val="28"/>
          <w:szCs w:val="28"/>
          <w14:textFill>
            <w14:solidFill>
              <w14:schemeClr w14:val="tx1"/>
            </w14:solidFill>
          </w14:textFill>
        </w:rPr>
        <w:t>参考《木薯种质资源抗虫性鉴定技术规程》NY/T 2445-2013，并根据本标准实质内容进行了文字修改。</w:t>
      </w:r>
    </w:p>
    <w:p>
      <w:p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2</w:t>
      </w:r>
      <w:r>
        <w:rPr>
          <w:rFonts w:hint="eastAsia" w:ascii="Times New Roman" w:hAnsi="Times New Roman" w:eastAsia="宋体" w:cs="Times New Roman"/>
          <w:b/>
          <w:color w:val="000000" w:themeColor="text1"/>
          <w:sz w:val="28"/>
          <w:szCs w:val="28"/>
          <w14:textFill>
            <w14:solidFill>
              <w14:schemeClr w14:val="tx1"/>
            </w14:solidFill>
          </w14:textFill>
        </w:rPr>
        <w:t>）试验田定义</w:t>
      </w:r>
      <w:bookmarkStart w:id="66" w:name="OLE_LINK1"/>
    </w:p>
    <w:p>
      <w:p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标准</w:t>
      </w:r>
      <w:r>
        <w:rPr>
          <w:rFonts w:ascii="Times New Roman" w:hAnsi="Times New Roman" w:eastAsia="宋体" w:cs="Times New Roman"/>
          <w:b/>
          <w:color w:val="000000" w:themeColor="text1"/>
          <w:sz w:val="28"/>
          <w:szCs w:val="28"/>
          <w14:textFill>
            <w14:solidFill>
              <w14:schemeClr w14:val="tx1"/>
            </w14:solidFill>
          </w14:textFill>
        </w:rPr>
        <w:t>内容：</w:t>
      </w:r>
    </w:p>
    <w:p>
      <w:pPr>
        <w:spacing w:line="360" w:lineRule="auto"/>
        <w:ind w:firstLine="560" w:firstLineChars="200"/>
        <w:jc w:val="left"/>
        <w:rPr>
          <w:rFonts w:ascii="Times New Roman" w:hAnsi="Times New Roman" w:eastAsia="宋体" w:cs="Times New Roman"/>
          <w:sz w:val="28"/>
          <w:szCs w:val="28"/>
        </w:rPr>
      </w:pPr>
      <w:r>
        <w:rPr>
          <w:rFonts w:ascii="Times New Roman" w:hAnsi="Times New Roman" w:eastAsia="宋体" w:cs="Times New Roman"/>
          <w:sz w:val="28"/>
          <w:szCs w:val="28"/>
        </w:rPr>
        <w:t>试验田</w:t>
      </w:r>
      <w:bookmarkEnd w:id="66"/>
      <w:r>
        <w:rPr>
          <w:rFonts w:ascii="Times New Roman" w:hAnsi="Times New Roman" w:eastAsia="宋体" w:cs="Times New Roman"/>
          <w:sz w:val="28"/>
          <w:szCs w:val="28"/>
        </w:rPr>
        <w:t xml:space="preserve"> experimental field </w:t>
      </w:r>
    </w:p>
    <w:p>
      <w:pPr>
        <w:spacing w:line="360" w:lineRule="auto"/>
        <w:ind w:firstLine="560" w:firstLineChars="200"/>
        <w:jc w:val="left"/>
        <w:rPr>
          <w:rFonts w:ascii="Times New Roman" w:hAnsi="Times New Roman" w:eastAsia="宋体" w:cs="Times New Roman"/>
          <w:sz w:val="28"/>
          <w:szCs w:val="28"/>
        </w:rPr>
      </w:pPr>
      <w:r>
        <w:rPr>
          <w:rFonts w:ascii="Times New Roman" w:hAnsi="Times New Roman" w:eastAsia="宋体" w:cs="Times New Roman"/>
          <w:sz w:val="28"/>
          <w:szCs w:val="28"/>
        </w:rPr>
        <w:t>在田间设置的用于苜蓿主要蓟马抗性鉴定、评价的试验场所。</w:t>
      </w:r>
    </w:p>
    <w:p>
      <w:pPr>
        <w:spacing w:line="360" w:lineRule="auto"/>
        <w:ind w:firstLine="562" w:firstLineChars="2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理由及依据：</w:t>
      </w:r>
      <w:r>
        <w:rPr>
          <w:rFonts w:ascii="Times New Roman" w:hAnsi="Times New Roman" w:eastAsia="宋体" w:cs="Times New Roman"/>
          <w:bCs/>
          <w:color w:val="000000" w:themeColor="text1"/>
          <w:sz w:val="28"/>
          <w:szCs w:val="28"/>
          <w14:textFill>
            <w14:solidFill>
              <w14:schemeClr w14:val="tx1"/>
            </w14:solidFill>
          </w14:textFill>
        </w:rPr>
        <w:t>参考《小麦抗病虫性评价技术规范 第7部分：小麦抗蚜虫评价技术规范》NY/T 1443.7-2007，并根据本标准相关内容进行了文字修改。</w:t>
      </w:r>
    </w:p>
    <w:p>
      <w:pPr>
        <w:spacing w:line="360" w:lineRule="auto"/>
        <w:ind w:firstLine="562" w:firstLineChars="200"/>
        <w:jc w:val="left"/>
        <w:rPr>
          <w:rFonts w:ascii="Times New Roman" w:hAnsi="Times New Roman" w:eastAsia="宋体" w:cs="Times New Roman"/>
          <w:b/>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3</w:t>
      </w:r>
      <w:r>
        <w:rPr>
          <w:rFonts w:hint="eastAsia" w:ascii="Times New Roman" w:hAnsi="Times New Roman" w:eastAsia="宋体" w:cs="Times New Roman"/>
          <w:b/>
          <w:color w:val="000000" w:themeColor="text1"/>
          <w:sz w:val="28"/>
          <w:szCs w:val="28"/>
          <w14:textFill>
            <w14:solidFill>
              <w14:schemeClr w14:val="tx1"/>
            </w14:solidFill>
          </w14:textFill>
        </w:rPr>
        <w:t>）蓟马抗性指数定义</w:t>
      </w:r>
    </w:p>
    <w:p>
      <w:pPr>
        <w:spacing w:line="360" w:lineRule="auto"/>
        <w:ind w:firstLine="562" w:firstLineChars="200"/>
        <w:jc w:val="left"/>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标准内容</w:t>
      </w:r>
      <w:r>
        <w:rPr>
          <w:rFonts w:ascii="Times New Roman" w:hAnsi="Times New Roman" w:eastAsia="宋体" w:cs="Times New Roman"/>
          <w:b/>
          <w:color w:val="000000" w:themeColor="text1"/>
          <w:sz w:val="28"/>
          <w:szCs w:val="28"/>
          <w14:textFill>
            <w14:solidFill>
              <w14:schemeClr w14:val="tx1"/>
            </w14:solidFill>
          </w14:textFill>
        </w:rPr>
        <w:t>：</w:t>
      </w:r>
    </w:p>
    <w:p>
      <w:pPr>
        <w:spacing w:line="360" w:lineRule="auto"/>
        <w:ind w:firstLine="560" w:firstLineChars="200"/>
        <w:jc w:val="left"/>
        <w:rPr>
          <w:rFonts w:ascii="Times New Roman" w:hAnsi="Times New Roman" w:eastAsia="宋体" w:cs="Times New Roman"/>
          <w:sz w:val="28"/>
          <w:szCs w:val="28"/>
        </w:rPr>
      </w:pPr>
      <w:r>
        <w:rPr>
          <w:rFonts w:ascii="Times New Roman" w:hAnsi="Times New Roman" w:eastAsia="宋体" w:cs="Times New Roman"/>
          <w:sz w:val="28"/>
          <w:szCs w:val="28"/>
        </w:rPr>
        <w:t>蓟马抗性指数 thrips resistance index</w:t>
      </w:r>
    </w:p>
    <w:p>
      <w:pPr>
        <w:spacing w:line="360" w:lineRule="auto"/>
        <w:ind w:firstLine="560" w:firstLineChars="200"/>
        <w:jc w:val="left"/>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Cs/>
          <w:color w:val="000000" w:themeColor="text1"/>
          <w:sz w:val="28"/>
          <w:szCs w:val="28"/>
          <w14:textFill>
            <w14:solidFill>
              <w14:schemeClr w14:val="tx1"/>
            </w14:solidFill>
          </w14:textFill>
        </w:rPr>
        <w:t>评价苜蓿主要蓟马抗性程度的综合指标。</w:t>
      </w:r>
    </w:p>
    <w:p>
      <w:pPr>
        <w:spacing w:line="360" w:lineRule="auto"/>
        <w:ind w:firstLine="560" w:firstLineChars="200"/>
        <w:jc w:val="left"/>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Cs/>
          <w:color w:val="000000" w:themeColor="text1"/>
          <w:sz w:val="28"/>
          <w:szCs w:val="28"/>
          <w14:textFill>
            <w14:solidFill>
              <w14:schemeClr w14:val="tx1"/>
            </w14:solidFill>
          </w14:textFill>
        </w:rPr>
        <w:t>注：一般是指待评价苜蓿蓟马量与所有苜蓿平均蓟马量的比值。</w:t>
      </w:r>
    </w:p>
    <w:p>
      <w:pPr>
        <w:spacing w:line="360" w:lineRule="auto"/>
        <w:ind w:firstLine="562" w:firstLineChars="2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理由及依据：</w:t>
      </w:r>
      <w:r>
        <w:rPr>
          <w:rFonts w:ascii="Times New Roman" w:hAnsi="Times New Roman" w:eastAsia="宋体" w:cs="Times New Roman"/>
          <w:bCs/>
          <w:color w:val="000000" w:themeColor="text1"/>
          <w:sz w:val="28"/>
          <w:szCs w:val="28"/>
          <w14:textFill>
            <w14:solidFill>
              <w14:schemeClr w14:val="tx1"/>
            </w14:solidFill>
          </w14:textFill>
        </w:rPr>
        <w:t>参考《小麦抗病虫性评价技术规范 第7部分：小麦抗蚜虫评价技术规范》NY/T 1443.7-2007，并根据本标准相关内容进行了文字修改。</w:t>
      </w:r>
    </w:p>
    <w:p>
      <w:pPr>
        <w:pStyle w:val="4"/>
        <w:spacing w:before="0" w:after="0" w:line="360" w:lineRule="auto"/>
        <w:ind w:firstLine="562" w:firstLineChars="200"/>
        <w:rPr>
          <w:rFonts w:ascii="Times New Roman" w:hAnsi="Times New Roman" w:eastAsia="宋体" w:cs="Times New Roman"/>
          <w:sz w:val="28"/>
          <w:szCs w:val="28"/>
        </w:rPr>
      </w:pPr>
      <w:bookmarkStart w:id="67" w:name="_Toc25795"/>
      <w:bookmarkStart w:id="68" w:name="_Toc31283"/>
      <w:bookmarkStart w:id="69" w:name="_Toc17794"/>
      <w:bookmarkStart w:id="70" w:name="_Toc15460"/>
      <w:bookmarkStart w:id="71" w:name="_Toc31790"/>
      <w:r>
        <w:rPr>
          <w:rFonts w:ascii="Times New Roman" w:hAnsi="Times New Roman" w:eastAsia="宋体" w:cs="Times New Roman"/>
          <w:sz w:val="28"/>
          <w:szCs w:val="28"/>
        </w:rPr>
        <w:t>2.试验田选择</w:t>
      </w:r>
      <w:bookmarkEnd w:id="67"/>
      <w:bookmarkEnd w:id="68"/>
      <w:bookmarkEnd w:id="69"/>
      <w:bookmarkEnd w:id="70"/>
      <w:bookmarkEnd w:id="71"/>
    </w:p>
    <w:p>
      <w:pPr>
        <w:spacing w:line="360" w:lineRule="auto"/>
        <w:ind w:firstLine="562" w:firstLineChars="200"/>
        <w:rPr>
          <w:rFonts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标准内容：</w:t>
      </w:r>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苜蓿主要蓟马抗性评价试验田设置在蓟马常年发生、地势平坦的地块，地块周围</w:t>
      </w:r>
      <w:r>
        <w:rPr>
          <w:rFonts w:ascii="Times New Roman" w:hAnsi="Times New Roman" w:eastAsia="宋体" w:cs="Times New Roman"/>
          <w:bCs/>
          <w:color w:val="000000" w:themeColor="text1"/>
          <w:sz w:val="28"/>
          <w:szCs w:val="28"/>
          <w14:textFill>
            <w14:solidFill>
              <w14:schemeClr w14:val="tx1"/>
            </w14:solidFill>
          </w14:textFill>
        </w:rPr>
        <w:t>500m</w:t>
      </w:r>
      <w:r>
        <w:rPr>
          <w:rFonts w:hint="eastAsia" w:ascii="Times New Roman" w:hAnsi="Times New Roman" w:eastAsia="宋体" w:cs="Times New Roman"/>
          <w:bCs/>
          <w:color w:val="000000" w:themeColor="text1"/>
          <w:sz w:val="28"/>
          <w:szCs w:val="28"/>
          <w14:textFill>
            <w14:solidFill>
              <w14:schemeClr w14:val="tx1"/>
            </w14:solidFill>
          </w14:textFill>
        </w:rPr>
        <w:t>内干扰蓟马活动的色谱源面积不超过试验田面积的</w:t>
      </w:r>
      <w:r>
        <w:rPr>
          <w:rFonts w:ascii="Times New Roman" w:hAnsi="Times New Roman" w:eastAsia="宋体" w:cs="Times New Roman"/>
          <w:bCs/>
          <w:color w:val="000000" w:themeColor="text1"/>
          <w:sz w:val="28"/>
          <w:szCs w:val="28"/>
          <w14:textFill>
            <w14:solidFill>
              <w14:schemeClr w14:val="tx1"/>
            </w14:solidFill>
          </w14:textFill>
        </w:rPr>
        <w:t>1%</w:t>
      </w:r>
      <w:r>
        <w:rPr>
          <w:rFonts w:hint="eastAsia" w:ascii="Times New Roman" w:hAnsi="Times New Roman" w:eastAsia="宋体" w:cs="Times New Roman"/>
          <w:bCs/>
          <w:color w:val="000000" w:themeColor="text1"/>
          <w:sz w:val="28"/>
          <w:szCs w:val="28"/>
          <w14:textFill>
            <w14:solidFill>
              <w14:schemeClr w14:val="tx1"/>
            </w14:solidFill>
          </w14:textFill>
        </w:rPr>
        <w:t>。试验田周围不能出现干扰蓟马习性的蓝色覆盖物等。</w:t>
      </w:r>
    </w:p>
    <w:p>
      <w:p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理由及依据：</w:t>
      </w:r>
      <w:r>
        <w:rPr>
          <w:rFonts w:hint="eastAsia" w:ascii="Times New Roman" w:hAnsi="Times New Roman" w:eastAsia="宋体" w:cs="Times New Roman"/>
          <w:bCs/>
          <w:color w:val="000000" w:themeColor="text1"/>
          <w:sz w:val="28"/>
          <w:szCs w:val="28"/>
          <w14:textFill>
            <w14:solidFill>
              <w14:schemeClr w14:val="tx1"/>
            </w14:solidFill>
          </w14:textFill>
        </w:rPr>
        <w:t>苜蓿主要蓟马抗性评价指田间自然发生状态下的抗性评价，要避免其他因素对评价结果造成影响。苜蓿主要蓟马抗性评价试验田设置在蓟马常年发生、地势平坦的地块，可避免由于蓟马偶发性以及因地势不平造成积水、湿度不均衡等原因对评价结果造成影响。为避免色谱源对蓟马活动造成影响，试验田周围要严格控制色谱源的范围。通过查阅相关文献，本标准将其规定为地块周围</w:t>
      </w:r>
      <w:r>
        <w:rPr>
          <w:rFonts w:ascii="Times New Roman" w:hAnsi="Times New Roman" w:eastAsia="宋体" w:cs="Times New Roman"/>
          <w:bCs/>
          <w:color w:val="000000" w:themeColor="text1"/>
          <w:sz w:val="28"/>
          <w:szCs w:val="28"/>
          <w14:textFill>
            <w14:solidFill>
              <w14:schemeClr w14:val="tx1"/>
            </w14:solidFill>
          </w14:textFill>
        </w:rPr>
        <w:t>500</w:t>
      </w:r>
      <w:r>
        <w:rPr>
          <w:rFonts w:hint="eastAsia" w:ascii="Times New Roman" w:hAnsi="Times New Roman" w:eastAsia="宋体" w:cs="Times New Roman"/>
          <w:bCs/>
          <w:color w:val="000000" w:themeColor="text1"/>
          <w:sz w:val="28"/>
          <w:szCs w:val="28"/>
          <w:lang w:val="en-US" w:eastAsia="zh-CN"/>
          <w14:textFill>
            <w14:solidFill>
              <w14:schemeClr w14:val="tx1"/>
            </w14:solidFill>
          </w14:textFill>
        </w:rPr>
        <w:t xml:space="preserve"> </w:t>
      </w:r>
      <w:r>
        <w:rPr>
          <w:rFonts w:ascii="Times New Roman" w:hAnsi="Times New Roman" w:eastAsia="宋体" w:cs="Times New Roman"/>
          <w:bCs/>
          <w:color w:val="000000" w:themeColor="text1"/>
          <w:sz w:val="28"/>
          <w:szCs w:val="28"/>
          <w14:textFill>
            <w14:solidFill>
              <w14:schemeClr w14:val="tx1"/>
            </w14:solidFill>
          </w14:textFill>
        </w:rPr>
        <w:t>m</w:t>
      </w:r>
      <w:r>
        <w:rPr>
          <w:rFonts w:hint="eastAsia" w:ascii="Times New Roman" w:hAnsi="Times New Roman" w:eastAsia="宋体" w:cs="Times New Roman"/>
          <w:bCs/>
          <w:color w:val="000000" w:themeColor="text1"/>
          <w:sz w:val="28"/>
          <w:szCs w:val="28"/>
          <w14:textFill>
            <w14:solidFill>
              <w14:schemeClr w14:val="tx1"/>
            </w14:solidFill>
          </w14:textFill>
        </w:rPr>
        <w:t>内干扰蓟马活动的色谱源面积不超过试验田面积的</w:t>
      </w:r>
      <w:r>
        <w:rPr>
          <w:rFonts w:ascii="Times New Roman" w:hAnsi="Times New Roman" w:eastAsia="宋体" w:cs="Times New Roman"/>
          <w:bCs/>
          <w:color w:val="000000" w:themeColor="text1"/>
          <w:sz w:val="28"/>
          <w:szCs w:val="28"/>
          <w14:textFill>
            <w14:solidFill>
              <w14:schemeClr w14:val="tx1"/>
            </w14:solidFill>
          </w14:textFill>
        </w:rPr>
        <w:t>1%</w:t>
      </w:r>
      <w:r>
        <w:rPr>
          <w:rFonts w:hint="eastAsia" w:ascii="Times New Roman" w:hAnsi="Times New Roman" w:eastAsia="宋体" w:cs="Times New Roman"/>
          <w:bCs/>
          <w:color w:val="000000" w:themeColor="text1"/>
          <w:sz w:val="28"/>
          <w:szCs w:val="28"/>
          <w14:textFill>
            <w14:solidFill>
              <w14:schemeClr w14:val="tx1"/>
            </w14:solidFill>
          </w14:textFill>
        </w:rPr>
        <w:t>。试验田周围不能出现干扰蓟马习性的蓝色覆盖物等。</w:t>
      </w:r>
    </w:p>
    <w:p>
      <w:pPr>
        <w:pStyle w:val="4"/>
        <w:spacing w:before="0" w:after="0" w:line="360" w:lineRule="auto"/>
        <w:ind w:firstLine="562" w:firstLineChars="200"/>
        <w:rPr>
          <w:rFonts w:ascii="Times New Roman" w:hAnsi="Times New Roman" w:eastAsia="宋体" w:cs="Times New Roman"/>
          <w:sz w:val="28"/>
          <w:szCs w:val="28"/>
        </w:rPr>
      </w:pPr>
      <w:bookmarkStart w:id="72" w:name="_Toc25830"/>
      <w:bookmarkStart w:id="73" w:name="_Toc24739"/>
      <w:bookmarkStart w:id="74" w:name="_Toc22608"/>
      <w:bookmarkStart w:id="75" w:name="_Toc2247"/>
      <w:bookmarkStart w:id="76" w:name="_Toc29029"/>
      <w:r>
        <w:rPr>
          <w:rFonts w:ascii="Times New Roman" w:hAnsi="Times New Roman" w:eastAsia="宋体" w:cs="Times New Roman"/>
          <w:sz w:val="28"/>
          <w:szCs w:val="28"/>
        </w:rPr>
        <w:t>3.田间管理</w:t>
      </w:r>
      <w:bookmarkEnd w:id="72"/>
      <w:bookmarkEnd w:id="73"/>
      <w:bookmarkEnd w:id="74"/>
      <w:bookmarkEnd w:id="75"/>
      <w:bookmarkEnd w:id="76"/>
    </w:p>
    <w:p>
      <w:pPr>
        <w:spacing w:line="360" w:lineRule="auto"/>
        <w:ind w:firstLine="562" w:firstLineChars="200"/>
        <w:rPr>
          <w:rFonts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标准内容：</w:t>
      </w:r>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参试材料种植前，苜蓿种子不做任何杀虫剂处理。在抗性评价期间不喷施任何针对蓟马的防治药剂。其它播种及田间管理措施按照</w:t>
      </w:r>
      <w:r>
        <w:rPr>
          <w:rFonts w:ascii="Times New Roman" w:hAnsi="Times New Roman" w:eastAsia="宋体" w:cs="Times New Roman"/>
          <w:bCs/>
          <w:color w:val="000000" w:themeColor="text1"/>
          <w:sz w:val="28"/>
          <w:szCs w:val="28"/>
          <w14:textFill>
            <w14:solidFill>
              <w14:schemeClr w14:val="tx1"/>
            </w14:solidFill>
          </w14:textFill>
        </w:rPr>
        <w:t>NY/T 2703规定要求进行。</w:t>
      </w:r>
    </w:p>
    <w:p>
      <w:p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理由及依据：</w:t>
      </w:r>
      <w:r>
        <w:rPr>
          <w:rFonts w:hint="eastAsia" w:ascii="Times New Roman" w:hAnsi="Times New Roman" w:eastAsia="宋体" w:cs="Times New Roman"/>
          <w:bCs/>
          <w:color w:val="000000" w:themeColor="text1"/>
          <w:sz w:val="28"/>
          <w:szCs w:val="28"/>
          <w14:textFill>
            <w14:solidFill>
              <w14:schemeClr w14:val="tx1"/>
            </w14:solidFill>
          </w14:textFill>
        </w:rPr>
        <w:t>苜蓿主要蓟马抗性评价指田间自然发生状态下的抗性评价，避免其他管理及防治措施对苜蓿种群的发生造成影响，同时《紫花苜蓿种植技术规程》</w:t>
      </w:r>
      <w:r>
        <w:rPr>
          <w:rFonts w:ascii="Times New Roman" w:hAnsi="Times New Roman" w:eastAsia="宋体" w:cs="Times New Roman"/>
          <w:bCs/>
          <w:color w:val="000000" w:themeColor="text1"/>
          <w:sz w:val="28"/>
          <w:szCs w:val="28"/>
          <w14:textFill>
            <w14:solidFill>
              <w14:schemeClr w14:val="tx1"/>
            </w14:solidFill>
          </w14:textFill>
        </w:rPr>
        <w:t>NY/T 2703</w:t>
      </w:r>
      <w:r>
        <w:rPr>
          <w:rFonts w:hint="eastAsia" w:ascii="Times New Roman" w:hAnsi="Times New Roman" w:eastAsia="宋体" w:cs="Times New Roman"/>
          <w:bCs/>
          <w:color w:val="000000" w:themeColor="text1"/>
          <w:sz w:val="28"/>
          <w:szCs w:val="28"/>
          <w14:textFill>
            <w14:solidFill>
              <w14:schemeClr w14:val="tx1"/>
            </w14:solidFill>
          </w14:textFill>
        </w:rPr>
        <w:t>对苜蓿种植气候环境条件、种子质量、苗床质量、播种时期、播种方式、播种量、播种深度、田间管理等内容均做了规定，此部分可直接参照该标准进行。</w:t>
      </w:r>
    </w:p>
    <w:p>
      <w:pPr>
        <w:pStyle w:val="4"/>
        <w:spacing w:before="0" w:after="0" w:line="360" w:lineRule="auto"/>
        <w:ind w:firstLine="562" w:firstLineChars="200"/>
        <w:rPr>
          <w:rFonts w:ascii="Times New Roman" w:hAnsi="Times New Roman" w:eastAsia="宋体" w:cs="Times New Roman"/>
          <w:sz w:val="28"/>
          <w:szCs w:val="28"/>
        </w:rPr>
      </w:pPr>
      <w:bookmarkStart w:id="77" w:name="_Toc26039"/>
      <w:bookmarkStart w:id="78" w:name="_Toc18437"/>
      <w:bookmarkStart w:id="79" w:name="_Toc23293"/>
      <w:bookmarkStart w:id="80" w:name="_Toc32585"/>
      <w:bookmarkStart w:id="81" w:name="_Toc26020"/>
      <w:r>
        <w:rPr>
          <w:rFonts w:ascii="Times New Roman" w:hAnsi="Times New Roman" w:eastAsia="宋体" w:cs="Times New Roman"/>
          <w:sz w:val="28"/>
          <w:szCs w:val="28"/>
        </w:rPr>
        <w:t>4.调查方法</w:t>
      </w:r>
      <w:bookmarkEnd w:id="77"/>
      <w:bookmarkEnd w:id="78"/>
      <w:bookmarkEnd w:id="79"/>
      <w:bookmarkEnd w:id="80"/>
      <w:bookmarkEnd w:id="81"/>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该部分包括调查物种和时间、取样方法两部分。</w:t>
      </w:r>
    </w:p>
    <w:p>
      <w:pPr>
        <w:pStyle w:val="24"/>
        <w:numPr>
          <w:ilvl w:val="255"/>
          <w:numId w:val="0"/>
        </w:num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（1）调查物种和时间</w:t>
      </w:r>
    </w:p>
    <w:p>
      <w:pPr>
        <w:spacing w:line="360" w:lineRule="auto"/>
        <w:ind w:firstLine="562" w:firstLineChars="200"/>
        <w:jc w:val="left"/>
        <w:rPr>
          <w:rFonts w:ascii="Times New Roman" w:hAnsi="Times New Roman" w:eastAsia="宋体" w:cs="Times New Roman"/>
          <w:b/>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1</w:t>
      </w:r>
      <w:r>
        <w:rPr>
          <w:rFonts w:hint="eastAsia" w:ascii="Times New Roman" w:hAnsi="Times New Roman" w:eastAsia="宋体" w:cs="Times New Roman"/>
          <w:b/>
          <w:color w:val="000000" w:themeColor="text1"/>
          <w:sz w:val="28"/>
          <w:szCs w:val="28"/>
          <w14:textFill>
            <w14:solidFill>
              <w14:schemeClr w14:val="tx1"/>
            </w14:solidFill>
          </w14:textFill>
        </w:rPr>
        <w:t>）调查物种</w:t>
      </w:r>
    </w:p>
    <w:p>
      <w:pPr>
        <w:spacing w:line="360" w:lineRule="auto"/>
        <w:ind w:firstLine="562" w:firstLineChars="200"/>
        <w:jc w:val="left"/>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标准内容：</w:t>
      </w:r>
    </w:p>
    <w:p>
      <w:pPr>
        <w:spacing w:line="360" w:lineRule="auto"/>
        <w:ind w:firstLine="42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田间评价的是</w:t>
      </w:r>
      <w:r>
        <w:rPr>
          <w:rFonts w:ascii="Times New Roman" w:hAnsi="Times New Roman" w:eastAsia="宋体" w:cs="Times New Roman"/>
          <w:bCs/>
          <w:color w:val="000000" w:themeColor="text1"/>
          <w:sz w:val="28"/>
          <w:szCs w:val="28"/>
          <w14:textFill>
            <w14:solidFill>
              <w14:schemeClr w14:val="tx1"/>
            </w14:solidFill>
          </w14:textFill>
        </w:rPr>
        <w:t>蓟马混合种群，主要包括牛角花齿蓟马（</w:t>
      </w:r>
      <w:r>
        <w:rPr>
          <w:rFonts w:ascii="Times New Roman" w:hAnsi="Times New Roman" w:eastAsia="宋体" w:cs="Times New Roman"/>
          <w:bCs/>
          <w:i/>
          <w:iCs/>
          <w:color w:val="000000" w:themeColor="text1"/>
          <w:sz w:val="28"/>
          <w:szCs w:val="28"/>
          <w14:textFill>
            <w14:solidFill>
              <w14:schemeClr w14:val="tx1"/>
            </w14:solidFill>
          </w14:textFill>
        </w:rPr>
        <w:t>Odontothrips loti</w:t>
      </w:r>
      <w:r>
        <w:rPr>
          <w:rFonts w:ascii="Times New Roman" w:hAnsi="Times New Roman" w:eastAsia="宋体" w:cs="Times New Roman"/>
          <w:bCs/>
          <w:color w:val="000000" w:themeColor="text1"/>
          <w:sz w:val="28"/>
          <w:szCs w:val="28"/>
          <w14:textFill>
            <w14:solidFill>
              <w14:schemeClr w14:val="tx1"/>
            </w14:solidFill>
          </w14:textFill>
        </w:rPr>
        <w:t xml:space="preserve"> Haliday）、花蓟马（</w:t>
      </w:r>
      <w:r>
        <w:rPr>
          <w:rFonts w:ascii="Times New Roman" w:hAnsi="Times New Roman" w:eastAsia="宋体" w:cs="Times New Roman"/>
          <w:bCs/>
          <w:i/>
          <w:iCs/>
          <w:color w:val="000000" w:themeColor="text1"/>
          <w:sz w:val="28"/>
          <w:szCs w:val="28"/>
          <w14:textFill>
            <w14:solidFill>
              <w14:schemeClr w14:val="tx1"/>
            </w14:solidFill>
          </w14:textFill>
        </w:rPr>
        <w:t xml:space="preserve">Frankliniella intonsa </w:t>
      </w:r>
      <w:r>
        <w:rPr>
          <w:rFonts w:ascii="Times New Roman" w:hAnsi="Times New Roman" w:eastAsia="宋体" w:cs="Times New Roman"/>
          <w:bCs/>
          <w:color w:val="000000" w:themeColor="text1"/>
          <w:sz w:val="28"/>
          <w:szCs w:val="28"/>
          <w14:textFill>
            <w14:solidFill>
              <w14:schemeClr w14:val="tx1"/>
            </w14:solidFill>
          </w14:textFill>
        </w:rPr>
        <w:t>Trybom）、烟蓟马（</w:t>
      </w:r>
      <w:r>
        <w:rPr>
          <w:rFonts w:ascii="Times New Roman" w:hAnsi="Times New Roman" w:eastAsia="宋体" w:cs="Times New Roman"/>
          <w:bCs/>
          <w:i/>
          <w:iCs/>
          <w:color w:val="000000" w:themeColor="text1"/>
          <w:sz w:val="28"/>
          <w:szCs w:val="28"/>
          <w14:textFill>
            <w14:solidFill>
              <w14:schemeClr w14:val="tx1"/>
            </w14:solidFill>
          </w14:textFill>
        </w:rPr>
        <w:t>Thrips tabaci</w:t>
      </w:r>
      <w:r>
        <w:rPr>
          <w:rFonts w:ascii="Times New Roman" w:hAnsi="Times New Roman" w:eastAsia="宋体" w:cs="Times New Roman"/>
          <w:bCs/>
          <w:color w:val="000000" w:themeColor="text1"/>
          <w:sz w:val="28"/>
          <w:szCs w:val="28"/>
          <w14:textFill>
            <w14:solidFill>
              <w14:schemeClr w14:val="tx1"/>
            </w14:solidFill>
          </w14:textFill>
        </w:rPr>
        <w:t xml:space="preserve"> Lindeman）、西花蓟马（</w:t>
      </w:r>
      <w:r>
        <w:rPr>
          <w:rFonts w:ascii="Times New Roman" w:hAnsi="Times New Roman" w:eastAsia="宋体" w:cs="Times New Roman"/>
          <w:bCs/>
          <w:i/>
          <w:iCs/>
          <w:color w:val="000000" w:themeColor="text1"/>
          <w:sz w:val="28"/>
          <w:szCs w:val="28"/>
          <w14:textFill>
            <w14:solidFill>
              <w14:schemeClr w14:val="tx1"/>
            </w14:solidFill>
          </w14:textFill>
        </w:rPr>
        <w:t>Franklinielia occidentalis</w:t>
      </w:r>
      <w:r>
        <w:rPr>
          <w:rFonts w:ascii="Times New Roman" w:hAnsi="Times New Roman" w:eastAsia="宋体" w:cs="Times New Roman"/>
          <w:bCs/>
          <w:color w:val="000000" w:themeColor="text1"/>
          <w:sz w:val="28"/>
          <w:szCs w:val="28"/>
          <w14:textFill>
            <w14:solidFill>
              <w14:schemeClr w14:val="tx1"/>
            </w14:solidFill>
          </w14:textFill>
        </w:rPr>
        <w:t xml:space="preserve"> Perg）、端带蓟马（</w:t>
      </w:r>
      <w:r>
        <w:rPr>
          <w:rFonts w:ascii="Times New Roman" w:hAnsi="Times New Roman" w:eastAsia="宋体" w:cs="Times New Roman"/>
          <w:bCs/>
          <w:i/>
          <w:iCs/>
          <w:color w:val="000000" w:themeColor="text1"/>
          <w:sz w:val="28"/>
          <w:szCs w:val="28"/>
          <w14:textFill>
            <w14:solidFill>
              <w14:schemeClr w14:val="tx1"/>
            </w14:solidFill>
          </w14:textFill>
        </w:rPr>
        <w:t>Megalurothrips distali</w:t>
      </w:r>
      <w:r>
        <w:rPr>
          <w:rFonts w:ascii="Times New Roman" w:hAnsi="Times New Roman" w:eastAsia="宋体" w:cs="Times New Roman"/>
          <w:bCs/>
          <w:color w:val="000000" w:themeColor="text1"/>
          <w:sz w:val="28"/>
          <w:szCs w:val="28"/>
          <w14:textFill>
            <w14:solidFill>
              <w14:schemeClr w14:val="tx1"/>
            </w14:solidFill>
          </w14:textFill>
        </w:rPr>
        <w:t xml:space="preserve"> Karny）等</w:t>
      </w:r>
      <w:r>
        <w:rPr>
          <w:rFonts w:hint="eastAsia" w:ascii="Times New Roman" w:hAnsi="Times New Roman" w:eastAsia="宋体" w:cs="Times New Roman"/>
          <w:bCs/>
          <w:color w:val="000000" w:themeColor="text1"/>
          <w:sz w:val="28"/>
          <w:szCs w:val="28"/>
          <w14:textFill>
            <w14:solidFill>
              <w14:schemeClr w14:val="tx1"/>
            </w14:solidFill>
          </w14:textFill>
        </w:rPr>
        <w:t>，主要蓟马形态特征见附录</w:t>
      </w:r>
      <w:r>
        <w:rPr>
          <w:rFonts w:ascii="Times New Roman" w:hAnsi="Times New Roman" w:eastAsia="宋体" w:cs="Times New Roman"/>
          <w:bCs/>
          <w:color w:val="000000" w:themeColor="text1"/>
          <w:sz w:val="28"/>
          <w:szCs w:val="28"/>
          <w14:textFill>
            <w14:solidFill>
              <w14:schemeClr w14:val="tx1"/>
            </w14:solidFill>
          </w14:textFill>
        </w:rPr>
        <w:t>A</w:t>
      </w:r>
      <w:r>
        <w:rPr>
          <w:rFonts w:hint="eastAsia" w:ascii="Times New Roman" w:hAnsi="Times New Roman" w:eastAsia="宋体" w:cs="Times New Roman"/>
          <w:bCs/>
          <w:color w:val="000000" w:themeColor="text1"/>
          <w:sz w:val="28"/>
          <w:szCs w:val="28"/>
          <w14:textFill>
            <w14:solidFill>
              <w14:schemeClr w14:val="tx1"/>
            </w14:solidFill>
          </w14:textFill>
        </w:rPr>
        <w:t>。</w:t>
      </w:r>
    </w:p>
    <w:p>
      <w:pPr>
        <w:spacing w:line="360" w:lineRule="auto"/>
        <w:ind w:firstLine="42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理由及依据：</w:t>
      </w:r>
      <w:r>
        <w:rPr>
          <w:rFonts w:hint="eastAsia" w:ascii="Times New Roman" w:hAnsi="Times New Roman" w:eastAsia="宋体" w:cs="Times New Roman"/>
          <w:bCs/>
          <w:color w:val="000000" w:themeColor="text1"/>
          <w:sz w:val="28"/>
          <w:szCs w:val="28"/>
          <w14:textFill>
            <w14:solidFill>
              <w14:schemeClr w14:val="tx1"/>
            </w14:solidFill>
          </w14:textFill>
        </w:rPr>
        <w:t>通过查阅相关资料及田间实际调查发现，田间为害苜蓿的蓟马为混合种群，各地均以牛角花齿蓟马为优势种，其他蓟马包括花蓟马、烟蓟马、西花蓟马和端带蓟马。因此，上述五种蓟马为调查对象。</w:t>
      </w:r>
    </w:p>
    <w:p>
      <w:pPr>
        <w:spacing w:line="360" w:lineRule="auto"/>
        <w:ind w:firstLine="562" w:firstLineChars="200"/>
        <w:jc w:val="left"/>
        <w:rPr>
          <w:rFonts w:ascii="Times New Roman" w:hAnsi="Times New Roman" w:eastAsia="宋体" w:cs="Times New Roman"/>
          <w:b/>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2</w:t>
      </w:r>
      <w:r>
        <w:rPr>
          <w:rFonts w:hint="eastAsia" w:ascii="Times New Roman" w:hAnsi="Times New Roman" w:eastAsia="宋体" w:cs="Times New Roman"/>
          <w:b/>
          <w:color w:val="000000" w:themeColor="text1"/>
          <w:sz w:val="28"/>
          <w:szCs w:val="28"/>
          <w14:textFill>
            <w14:solidFill>
              <w14:schemeClr w14:val="tx1"/>
            </w14:solidFill>
          </w14:textFill>
        </w:rPr>
        <w:t>）调查时间</w:t>
      </w:r>
    </w:p>
    <w:p>
      <w:pPr>
        <w:spacing w:line="360" w:lineRule="auto"/>
        <w:ind w:firstLine="562" w:firstLineChars="200"/>
        <w:jc w:val="left"/>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标准内容：</w:t>
      </w:r>
    </w:p>
    <w:p>
      <w:pPr>
        <w:spacing w:line="360" w:lineRule="auto"/>
        <w:ind w:firstLine="560" w:firstLineChars="200"/>
        <w:jc w:val="left"/>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Cs/>
          <w:color w:val="000000" w:themeColor="text1"/>
          <w:sz w:val="28"/>
          <w:szCs w:val="28"/>
          <w14:textFill>
            <w14:solidFill>
              <w14:schemeClr w14:val="tx1"/>
            </w14:solidFill>
          </w14:textFill>
        </w:rPr>
        <w:t>在苜蓿播种或返青后，按照主要蓟马发生规律，在蓟马发生盛期</w:t>
      </w:r>
      <w:r>
        <w:rPr>
          <w:rFonts w:hint="eastAsia" w:ascii="Times New Roman" w:hAnsi="Times New Roman" w:eastAsia="宋体" w:cs="Times New Roman"/>
          <w:bCs/>
          <w:color w:val="000000" w:themeColor="text1"/>
          <w:sz w:val="28"/>
          <w:szCs w:val="28"/>
          <w14:textFill>
            <w14:solidFill>
              <w14:schemeClr w14:val="tx1"/>
            </w14:solidFill>
          </w14:textFill>
        </w:rPr>
        <w:t>（</w:t>
      </w:r>
      <w:r>
        <w:rPr>
          <w:rFonts w:ascii="Times New Roman" w:hAnsi="Times New Roman" w:eastAsia="宋体" w:cs="Times New Roman"/>
          <w:bCs/>
          <w:color w:val="000000" w:themeColor="text1"/>
          <w:sz w:val="28"/>
          <w:szCs w:val="28"/>
          <w14:textFill>
            <w14:solidFill>
              <w14:schemeClr w14:val="tx1"/>
            </w14:solidFill>
          </w14:textFill>
        </w:rPr>
        <w:t>5</w:t>
      </w:r>
      <w:r>
        <w:rPr>
          <w:rFonts w:hint="eastAsia" w:ascii="Times New Roman" w:hAnsi="Times New Roman" w:eastAsia="宋体" w:cs="Times New Roman"/>
          <w:bCs/>
          <w:color w:val="000000" w:themeColor="text1"/>
          <w:sz w:val="28"/>
          <w:szCs w:val="28"/>
          <w14:textFill>
            <w14:solidFill>
              <w14:schemeClr w14:val="tx1"/>
            </w14:solidFill>
          </w14:textFill>
        </w:rPr>
        <w:t>月下旬至</w:t>
      </w:r>
      <w:r>
        <w:rPr>
          <w:rFonts w:ascii="Times New Roman" w:hAnsi="Times New Roman" w:eastAsia="宋体" w:cs="Times New Roman"/>
          <w:bCs/>
          <w:color w:val="000000" w:themeColor="text1"/>
          <w:sz w:val="28"/>
          <w:szCs w:val="28"/>
          <w14:textFill>
            <w14:solidFill>
              <w14:schemeClr w14:val="tx1"/>
            </w14:solidFill>
          </w14:textFill>
        </w:rPr>
        <w:t>8</w:t>
      </w:r>
      <w:r>
        <w:rPr>
          <w:rFonts w:hint="eastAsia" w:ascii="Times New Roman" w:hAnsi="Times New Roman" w:eastAsia="宋体" w:cs="Times New Roman"/>
          <w:bCs/>
          <w:color w:val="000000" w:themeColor="text1"/>
          <w:sz w:val="28"/>
          <w:szCs w:val="28"/>
          <w14:textFill>
            <w14:solidFill>
              <w14:schemeClr w14:val="tx1"/>
            </w14:solidFill>
          </w14:textFill>
        </w:rPr>
        <w:t>月下旬）</w:t>
      </w:r>
      <w:r>
        <w:rPr>
          <w:rFonts w:ascii="Times New Roman" w:hAnsi="Times New Roman" w:eastAsia="宋体" w:cs="Times New Roman"/>
          <w:bCs/>
          <w:color w:val="000000" w:themeColor="text1"/>
          <w:sz w:val="28"/>
          <w:szCs w:val="28"/>
          <w14:textFill>
            <w14:solidFill>
              <w14:schemeClr w14:val="tx1"/>
            </w14:solidFill>
          </w14:textFill>
        </w:rPr>
        <w:t>，苜蓿株高25~50 cm</w:t>
      </w:r>
      <w:r>
        <w:rPr>
          <w:rFonts w:hint="eastAsia" w:ascii="Times New Roman" w:hAnsi="Times New Roman" w:eastAsia="宋体" w:cs="Times New Roman"/>
          <w:bCs/>
          <w:color w:val="000000" w:themeColor="text1"/>
          <w:sz w:val="28"/>
          <w:szCs w:val="28"/>
          <w14:textFill>
            <w14:solidFill>
              <w14:schemeClr w14:val="tx1"/>
            </w14:solidFill>
          </w14:textFill>
        </w:rPr>
        <w:t>时</w:t>
      </w:r>
      <w:r>
        <w:rPr>
          <w:rFonts w:ascii="Times New Roman" w:hAnsi="Times New Roman" w:eastAsia="宋体" w:cs="Times New Roman"/>
          <w:bCs/>
          <w:color w:val="000000" w:themeColor="text1"/>
          <w:sz w:val="28"/>
          <w:szCs w:val="28"/>
          <w14:textFill>
            <w14:solidFill>
              <w14:schemeClr w14:val="tx1"/>
            </w14:solidFill>
          </w14:textFill>
        </w:rPr>
        <w:t>调查蓟马的数量，每7d调查1次，至少调查3次。</w:t>
      </w:r>
    </w:p>
    <w:p>
      <w:pPr>
        <w:spacing w:line="360" w:lineRule="auto"/>
        <w:ind w:firstLine="562"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理由及依据：</w:t>
      </w:r>
      <w:r>
        <w:rPr>
          <w:rFonts w:hint="eastAsia" w:ascii="Times New Roman" w:hAnsi="Times New Roman" w:eastAsia="宋体" w:cs="Times New Roman"/>
          <w:bCs/>
          <w:color w:val="000000" w:themeColor="text1"/>
          <w:sz w:val="28"/>
          <w:szCs w:val="28"/>
          <w14:textFill>
            <w14:solidFill>
              <w14:schemeClr w14:val="tx1"/>
            </w14:solidFill>
          </w14:textFill>
        </w:rPr>
        <w:t>蓟马从苜蓿返青开始，整个生育期均可持续为害，主要取食叶芽、嫩芽和花，其成虫产卵于叶片、花、茎秆组织中。通过田间调查及相关资料统计分析，不同地区苜蓿田主要蓟马发生高峰期有所差别。陕西关中地区蓟马发生为害高峰期为7-</w:t>
      </w:r>
      <w:r>
        <w:rPr>
          <w:rFonts w:ascii="Times New Roman" w:hAnsi="Times New Roman" w:eastAsia="宋体" w:cs="Times New Roman"/>
          <w:bCs/>
          <w:color w:val="000000" w:themeColor="text1"/>
          <w:sz w:val="28"/>
          <w:szCs w:val="28"/>
          <w14:textFill>
            <w14:solidFill>
              <w14:schemeClr w14:val="tx1"/>
            </w14:solidFill>
          </w14:textFill>
        </w:rPr>
        <w:t>8</w:t>
      </w:r>
      <w:r>
        <w:rPr>
          <w:rFonts w:hint="eastAsia" w:ascii="Times New Roman" w:hAnsi="Times New Roman" w:eastAsia="宋体" w:cs="Times New Roman"/>
          <w:bCs/>
          <w:color w:val="000000" w:themeColor="text1"/>
          <w:sz w:val="28"/>
          <w:szCs w:val="28"/>
          <w14:textFill>
            <w14:solidFill>
              <w14:schemeClr w14:val="tx1"/>
            </w14:solidFill>
          </w14:textFill>
        </w:rPr>
        <w:t>月。内蒙古呼和浩特地区以7月中旬至7月下旬蓟马为害最为严重。宁夏石嘴山市蓟马发生高峰期为6月下旬。因此，各地区的调查时间应根据本地实际情况进行，本标准将调查时间规定为（5月下旬至8月下旬），即</w:t>
      </w:r>
      <w:r>
        <w:rPr>
          <w:rFonts w:ascii="Times New Roman" w:hAnsi="Times New Roman" w:eastAsia="宋体" w:cs="Times New Roman"/>
          <w:bCs/>
          <w:color w:val="000000" w:themeColor="text1"/>
          <w:sz w:val="28"/>
          <w:szCs w:val="28"/>
          <w14:textFill>
            <w14:solidFill>
              <w14:schemeClr w14:val="tx1"/>
            </w14:solidFill>
          </w14:textFill>
        </w:rPr>
        <w:t>苜蓿株高25 cm~50 cm（即</w:t>
      </w:r>
      <w:r>
        <w:rPr>
          <w:rFonts w:hint="eastAsia" w:ascii="Times New Roman" w:hAnsi="Times New Roman" w:eastAsia="宋体" w:cs="Times New Roman"/>
          <w:bCs/>
          <w:color w:val="000000" w:themeColor="text1"/>
          <w:sz w:val="28"/>
          <w:szCs w:val="28"/>
          <w14:textFill>
            <w14:solidFill>
              <w14:schemeClr w14:val="tx1"/>
            </w14:solidFill>
          </w14:textFill>
        </w:rPr>
        <w:t>从</w:t>
      </w:r>
      <w:r>
        <w:rPr>
          <w:rFonts w:ascii="Times New Roman" w:hAnsi="Times New Roman" w:eastAsia="宋体" w:cs="Times New Roman"/>
          <w:bCs/>
          <w:color w:val="000000" w:themeColor="text1"/>
          <w:sz w:val="28"/>
          <w:szCs w:val="28"/>
          <w14:textFill>
            <w14:solidFill>
              <w14:schemeClr w14:val="tx1"/>
            </w14:solidFill>
          </w14:textFill>
        </w:rPr>
        <w:t>营养生长期</w:t>
      </w:r>
      <w:r>
        <w:rPr>
          <w:rFonts w:hint="eastAsia" w:ascii="Times New Roman" w:hAnsi="Times New Roman" w:eastAsia="宋体" w:cs="Times New Roman"/>
          <w:bCs/>
          <w:color w:val="000000" w:themeColor="text1"/>
          <w:sz w:val="28"/>
          <w:szCs w:val="28"/>
          <w14:textFill>
            <w14:solidFill>
              <w14:schemeClr w14:val="tx1"/>
            </w14:solidFill>
          </w14:textFill>
        </w:rPr>
        <w:t>到</w:t>
      </w:r>
      <w:r>
        <w:rPr>
          <w:rFonts w:ascii="Times New Roman" w:hAnsi="Times New Roman" w:eastAsia="宋体" w:cs="Times New Roman"/>
          <w:bCs/>
          <w:color w:val="000000" w:themeColor="text1"/>
          <w:sz w:val="28"/>
          <w:szCs w:val="28"/>
          <w14:textFill>
            <w14:solidFill>
              <w14:schemeClr w14:val="tx1"/>
            </w14:solidFill>
          </w14:textFill>
        </w:rPr>
        <w:t>初花期）</w:t>
      </w:r>
      <w:r>
        <w:rPr>
          <w:rFonts w:hint="eastAsia" w:ascii="Times New Roman" w:hAnsi="Times New Roman" w:eastAsia="宋体" w:cs="Times New Roman"/>
          <w:bCs/>
          <w:color w:val="000000" w:themeColor="text1"/>
          <w:sz w:val="28"/>
          <w:szCs w:val="28"/>
          <w14:textFill>
            <w14:solidFill>
              <w14:schemeClr w14:val="tx1"/>
            </w14:solidFill>
          </w14:textFill>
        </w:rPr>
        <w:t>。根据蓟马种群的发生动态规律，将每次调查时间间隔定为7天。为保证调查数据的准确及客观性，应至少进行3次调查。</w:t>
      </w:r>
    </w:p>
    <w:p>
      <w:pPr>
        <w:spacing w:line="360" w:lineRule="auto"/>
        <w:ind w:firstLine="281" w:firstLineChars="100"/>
        <w:jc w:val="left"/>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w:t>
      </w:r>
      <w:r>
        <w:rPr>
          <w:rFonts w:ascii="Times New Roman" w:hAnsi="Times New Roman" w:eastAsia="宋体" w:cs="Times New Roman"/>
          <w:b/>
          <w:color w:val="000000" w:themeColor="text1"/>
          <w:sz w:val="28"/>
          <w:szCs w:val="28"/>
          <w14:textFill>
            <w14:solidFill>
              <w14:schemeClr w14:val="tx1"/>
            </w14:solidFill>
          </w14:textFill>
        </w:rPr>
        <w:t>2</w:t>
      </w:r>
      <w:r>
        <w:rPr>
          <w:rFonts w:hint="eastAsia" w:ascii="Times New Roman" w:hAnsi="Times New Roman" w:eastAsia="宋体" w:cs="Times New Roman"/>
          <w:b/>
          <w:color w:val="000000" w:themeColor="text1"/>
          <w:sz w:val="28"/>
          <w:szCs w:val="28"/>
          <w14:textFill>
            <w14:solidFill>
              <w14:schemeClr w14:val="tx1"/>
            </w14:solidFill>
          </w14:textFill>
        </w:rPr>
        <w:t>）取样方法</w:t>
      </w:r>
    </w:p>
    <w:p>
      <w:pPr>
        <w:spacing w:line="360" w:lineRule="auto"/>
        <w:ind w:firstLine="562" w:firstLineChars="200"/>
        <w:rPr>
          <w:rFonts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标准内容：</w:t>
      </w:r>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Cs/>
          <w:color w:val="000000" w:themeColor="text1"/>
          <w:sz w:val="28"/>
          <w:szCs w:val="28"/>
          <w14:textFill>
            <w14:solidFill>
              <w14:schemeClr w14:val="tx1"/>
            </w14:solidFill>
          </w14:textFill>
        </w:rPr>
        <w:t>每个小区采用5点取样法（见图1），即先确定对角线的中心点作为中心抽样点，再在对角线上选择四个与中心样点距离相等的点作为样点。每样点随机取苜蓿主枝条20~30枝，用透明塑料袋将其完全罩住，将苜蓿齐根剪下，封住塑料袋。</w:t>
      </w:r>
      <w:r>
        <w:rPr>
          <w:rFonts w:ascii="Times New Roman" w:hAnsi="Times New Roman" w:eastAsia="宋体" w:cs="Times New Roman"/>
          <w:bCs/>
          <w:sz w:val="28"/>
          <w:szCs w:val="28"/>
        </w:rPr>
        <w:t>贴上</w:t>
      </w:r>
      <w:r>
        <w:rPr>
          <w:rFonts w:ascii="Times New Roman" w:hAnsi="Times New Roman" w:eastAsia="宋体" w:cs="Times New Roman"/>
          <w:bCs/>
          <w:color w:val="000000" w:themeColor="text1"/>
          <w:sz w:val="28"/>
          <w:szCs w:val="28"/>
          <w14:textFill>
            <w14:solidFill>
              <w14:schemeClr w14:val="tx1"/>
            </w14:solidFill>
          </w14:textFill>
        </w:rPr>
        <w:t>标签，注明采集时间、地点、苜蓿茬数和采集人等信息。</w:t>
      </w:r>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p>
    <w:p>
      <w:pPr>
        <w:snapToGrid w:val="0"/>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mc:AlternateContent>
          <mc:Choice Requires="wpg">
            <w:drawing>
              <wp:anchor distT="0" distB="0" distL="114300" distR="114300" simplePos="0" relativeHeight="251659264" behindDoc="0" locked="0" layoutInCell="1" allowOverlap="1">
                <wp:simplePos x="0" y="0"/>
                <wp:positionH relativeFrom="margin">
                  <wp:posOffset>1530350</wp:posOffset>
                </wp:positionH>
                <wp:positionV relativeFrom="paragraph">
                  <wp:posOffset>28575</wp:posOffset>
                </wp:positionV>
                <wp:extent cx="2514600" cy="1661795"/>
                <wp:effectExtent l="0" t="0" r="19050" b="33655"/>
                <wp:wrapNone/>
                <wp:docPr id="20" name="组合 20"/>
                <wp:cNvGraphicFramePr/>
                <a:graphic xmlns:a="http://schemas.openxmlformats.org/drawingml/2006/main">
                  <a:graphicData uri="http://schemas.microsoft.com/office/word/2010/wordprocessingGroup">
                    <wpg:wgp>
                      <wpg:cNvGrpSpPr/>
                      <wpg:grpSpPr>
                        <a:xfrm>
                          <a:off x="0" y="0"/>
                          <a:ext cx="2514600" cy="1661795"/>
                          <a:chOff x="3309" y="7545"/>
                          <a:chExt cx="5520" cy="3720"/>
                        </a:xfrm>
                      </wpg:grpSpPr>
                      <wpg:grpSp>
                        <wpg:cNvPr id="21" name="组合 14"/>
                        <wpg:cNvGrpSpPr/>
                        <wpg:grpSpPr>
                          <a:xfrm>
                            <a:off x="3309" y="7545"/>
                            <a:ext cx="5520" cy="3720"/>
                            <a:chOff x="3309" y="7545"/>
                            <a:chExt cx="5520" cy="3720"/>
                          </a:xfrm>
                        </wpg:grpSpPr>
                        <wpg:grpSp>
                          <wpg:cNvPr id="22" name="组合 15"/>
                          <wpg:cNvGrpSpPr/>
                          <wpg:grpSpPr>
                            <a:xfrm>
                              <a:off x="3309" y="7545"/>
                              <a:ext cx="5520" cy="3720"/>
                              <a:chOff x="3309" y="7545"/>
                              <a:chExt cx="5520" cy="3720"/>
                            </a:xfrm>
                          </wpg:grpSpPr>
                          <wpg:grpSp>
                            <wpg:cNvPr id="23" name="组合 16"/>
                            <wpg:cNvGrpSpPr/>
                            <wpg:grpSpPr>
                              <a:xfrm>
                                <a:off x="3309" y="7545"/>
                                <a:ext cx="5520" cy="3720"/>
                                <a:chOff x="3309" y="7545"/>
                                <a:chExt cx="5520" cy="3720"/>
                              </a:xfrm>
                            </wpg:grpSpPr>
                            <wps:wsp>
                              <wps:cNvPr id="24" name="矩形 25"/>
                              <wps:cNvSpPr>
                                <a:spLocks noChangeArrowheads="1"/>
                              </wps:cNvSpPr>
                              <wps:spPr bwMode="auto">
                                <a:xfrm>
                                  <a:off x="3309" y="7545"/>
                                  <a:ext cx="5468" cy="37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25" name="自选图形 27"/>
                              <wps:cNvCnPr>
                                <a:cxnSpLocks noChangeShapeType="1"/>
                              </wps:cNvCnPr>
                              <wps:spPr bwMode="auto">
                                <a:xfrm>
                                  <a:off x="3309" y="7577"/>
                                  <a:ext cx="5520" cy="3688"/>
                                </a:xfrm>
                                <a:prstGeom prst="straightConnector1">
                                  <a:avLst/>
                                </a:prstGeom>
                                <a:noFill/>
                                <a:ln w="9525">
                                  <a:solidFill>
                                    <a:srgbClr val="000000"/>
                                  </a:solidFill>
                                  <a:round/>
                                </a:ln>
                              </wps:spPr>
                              <wps:bodyPr/>
                            </wps:wsp>
                          </wpg:grpSp>
                          <wps:wsp>
                            <wps:cNvPr id="26" name="自选图形 30"/>
                            <wps:cNvCnPr>
                              <a:cxnSpLocks noChangeShapeType="1"/>
                            </wps:cNvCnPr>
                            <wps:spPr bwMode="auto">
                              <a:xfrm flipV="1">
                                <a:off x="3309" y="7545"/>
                                <a:ext cx="5520" cy="3701"/>
                              </a:xfrm>
                              <a:prstGeom prst="straightConnector1">
                                <a:avLst/>
                              </a:prstGeom>
                              <a:noFill/>
                              <a:ln w="9525">
                                <a:solidFill>
                                  <a:srgbClr val="000000"/>
                                </a:solidFill>
                                <a:round/>
                              </a:ln>
                            </wps:spPr>
                            <wps:bodyPr/>
                          </wps:wsp>
                        </wpg:grpSp>
                        <wps:wsp>
                          <wps:cNvPr id="27" name="矩形 31"/>
                          <wps:cNvSpPr>
                            <a:spLocks noChangeArrowheads="1"/>
                          </wps:cNvSpPr>
                          <wps:spPr bwMode="auto">
                            <a:xfrm>
                              <a:off x="3926" y="10229"/>
                              <a:ext cx="755" cy="599"/>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28" name="矩形 32"/>
                          <wps:cNvSpPr>
                            <a:spLocks noChangeArrowheads="1"/>
                          </wps:cNvSpPr>
                          <wps:spPr bwMode="auto">
                            <a:xfrm>
                              <a:off x="3926" y="7917"/>
                              <a:ext cx="755" cy="599"/>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29" name="矩形 33"/>
                          <wps:cNvSpPr>
                            <a:spLocks noChangeArrowheads="1"/>
                          </wps:cNvSpPr>
                          <wps:spPr bwMode="auto">
                            <a:xfrm>
                              <a:off x="7413" y="7902"/>
                              <a:ext cx="755" cy="599"/>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s:wsp>
                          <wps:cNvPr id="30" name="矩形 34"/>
                          <wps:cNvSpPr>
                            <a:spLocks noChangeArrowheads="1"/>
                          </wps:cNvSpPr>
                          <wps:spPr bwMode="auto">
                            <a:xfrm>
                              <a:off x="7413" y="10267"/>
                              <a:ext cx="755" cy="599"/>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grpSp>
                      <wps:wsp>
                        <wps:cNvPr id="31" name="矩形 35"/>
                        <wps:cNvSpPr>
                          <a:spLocks noChangeArrowheads="1"/>
                        </wps:cNvSpPr>
                        <wps:spPr bwMode="auto">
                          <a:xfrm>
                            <a:off x="5690" y="9103"/>
                            <a:ext cx="755" cy="599"/>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120.5pt;margin-top:2.25pt;height:130.85pt;width:198pt;mso-position-horizontal-relative:margin;z-index:251659264;mso-width-relative:page;mso-height-relative:page;" coordorigin="3309,7545" coordsize="5520,3720" o:gfxdata="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">
                <o:lock v:ext="edit" aspectratio="f"/>
                <v:group id="组合 14" o:spid="_x0000_s1026" o:spt="203" style="position:absolute;left:3309;top:7545;height:3720;width:5520;" coordorigin="3309,7545" coordsize="5520,3720"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o:lock v:ext="edit" aspectratio="f"/>
                  <v:group id="组合 15" o:spid="_x0000_s1026" o:spt="203" style="position:absolute;left:3309;top:7545;height:3720;width:5520;" coordorigin="3309,7545" coordsize="5520,3720"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group id="组合 16" o:spid="_x0000_s1026" o:spt="203" style="position:absolute;left:3309;top:7545;height:3720;width:5520;" coordorigin="3309,7545" coordsize="5520,3720"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rect id="矩形 25" o:spid="_x0000_s1026" o:spt="1" style="position:absolute;left:3309;top:7545;height:3720;width:5468;" fillcolor="#FFFFFF" filled="t" stroked="t" coordsize="21600,21600" o:gfxdata="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0y9Iv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rect>
                      <v:shape id="自选图形 27" o:spid="_x0000_s1026" o:spt="32" type="#_x0000_t32" style="position:absolute;left:3309;top:7577;height:3688;width:5520;" filled="f" stroked="t" coordsize="21600,21600" o:gfxdata="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SU79F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shape>
                    </v:group>
                    <v:shape id="自选图形 30" o:spid="_x0000_s1026" o:spt="32" type="#_x0000_t32" style="position:absolute;left:3309;top:7545;flip:y;height:3701;width:5520;" filled="f" stroked="t" coordsize="21600,21600" o:gfxdata="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qOHu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shape>
                  </v:group>
                  <v:rect id="矩形 31" o:spid="_x0000_s1026" o:spt="1" style="position:absolute;left:3926;top:10229;height:599;width:755;" fillcolor="#FFFFFF" filled="t" stroked="t" coordsize="21600,21600" o:gfxdata="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GUxYvQAA&#10;ANs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rect>
                  <v:rect id="矩形 32" o:spid="_x0000_s1026" o:spt="1" style="position:absolute;left:3926;top:7917;height:599;width:755;" fillcolor="#FFFFFF" filled="t" stroked="t" coordsize="21600,21600" o:gfxdata="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htgqugAAANs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rect id="矩形 33" o:spid="_x0000_s1026" o:spt="1" style="position:absolute;left:7413;top:7902;height:599;width:755;" fillcolor="#FFFFFF" filled="t" stroked="t" coordsize="21600,21600" o:gfxdata="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rKfbG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rect>
                  <v:rect id="矩形 34" o:spid="_x0000_s1026" o:spt="1" style="position:absolute;left:7413;top:10267;height:599;width:755;" fillcolor="#FFFFFF" filled="t" stroked="t" coordsize="21600,21600" o:gfxdata="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ilC8bsAAADb&#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rect>
                </v:group>
                <v:rect id="矩形 35" o:spid="_x0000_s1026" o:spt="1" style="position:absolute;left:5690;top:9103;height:599;width:755;" fillcolor="#FFFFFF" filled="t" stroked="t" coordsize="21600,21600" o:gfxdata="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Fl52q8AAAA&#10;2w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rect>
              </v:group>
            </w:pict>
          </mc:Fallback>
        </mc:AlternateContent>
      </w:r>
    </w:p>
    <w:p>
      <w:pPr>
        <w:snapToGrid w:val="0"/>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p>
    <w:p>
      <w:pPr>
        <w:snapToGrid w:val="0"/>
        <w:spacing w:before="312" w:beforeLines="100"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p>
    <w:p>
      <w:pPr>
        <w:snapToGrid w:val="0"/>
        <w:spacing w:before="312" w:beforeLines="100"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p>
    <w:p>
      <w:pPr>
        <w:snapToGrid w:val="0"/>
        <w:spacing w:before="312" w:beforeLines="100" w:line="360" w:lineRule="auto"/>
        <w:ind w:firstLine="560" w:firstLineChars="200"/>
        <w:jc w:val="center"/>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图1  五点取样法示意图</w:t>
      </w:r>
    </w:p>
    <w:p>
      <w:pPr>
        <w:spacing w:line="360" w:lineRule="auto"/>
        <w:ind w:firstLine="562"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理由及依据：</w:t>
      </w:r>
      <w:r>
        <w:rPr>
          <w:rFonts w:hint="eastAsia" w:ascii="Times New Roman" w:hAnsi="Times New Roman" w:eastAsia="宋体" w:cs="Times New Roman"/>
          <w:bCs/>
          <w:color w:val="000000" w:themeColor="text1"/>
          <w:sz w:val="28"/>
          <w:szCs w:val="28"/>
          <w14:textFill>
            <w14:solidFill>
              <w14:schemeClr w14:val="tx1"/>
            </w14:solidFill>
          </w14:textFill>
        </w:rPr>
        <w:t>蓟马属微体昆虫，个体细小，长度</w:t>
      </w:r>
      <w:r>
        <w:rPr>
          <w:rFonts w:ascii="Times New Roman" w:hAnsi="Times New Roman" w:eastAsia="宋体" w:cs="Times New Roman"/>
          <w:bCs/>
          <w:color w:val="000000" w:themeColor="text1"/>
          <w:sz w:val="28"/>
          <w:szCs w:val="28"/>
          <w14:textFill>
            <w14:solidFill>
              <w14:schemeClr w14:val="tx1"/>
            </w14:solidFill>
          </w14:textFill>
        </w:rPr>
        <w:t>0.5</w:t>
      </w:r>
      <w:r>
        <w:rPr>
          <w:rFonts w:hint="eastAsia" w:ascii="Times New Roman" w:hAnsi="Times New Roman" w:eastAsia="宋体" w:cs="Times New Roman"/>
          <w:bCs/>
          <w:color w:val="000000" w:themeColor="text1"/>
          <w:sz w:val="28"/>
          <w:szCs w:val="28"/>
          <w:lang w:val="en-US" w:eastAsia="zh-CN"/>
          <w14:textFill>
            <w14:solidFill>
              <w14:schemeClr w14:val="tx1"/>
            </w14:solidFill>
          </w14:textFill>
        </w:rPr>
        <w:t xml:space="preserve"> </w:t>
      </w:r>
      <w:r>
        <w:rPr>
          <w:rFonts w:ascii="Times New Roman" w:hAnsi="Times New Roman" w:eastAsia="宋体" w:cs="Times New Roman"/>
          <w:bCs/>
          <w:color w:val="000000" w:themeColor="text1"/>
          <w:sz w:val="28"/>
          <w:szCs w:val="28"/>
          <w14:textFill>
            <w14:solidFill>
              <w14:schemeClr w14:val="tx1"/>
            </w14:solidFill>
          </w14:textFill>
        </w:rPr>
        <w:t>mm-1.5</w:t>
      </w:r>
      <w:r>
        <w:rPr>
          <w:rFonts w:hint="eastAsia" w:ascii="Times New Roman" w:hAnsi="Times New Roman" w:eastAsia="宋体" w:cs="Times New Roman"/>
          <w:bCs/>
          <w:color w:val="000000" w:themeColor="text1"/>
          <w:sz w:val="28"/>
          <w:szCs w:val="28"/>
          <w:lang w:val="en-US" w:eastAsia="zh-CN"/>
          <w14:textFill>
            <w14:solidFill>
              <w14:schemeClr w14:val="tx1"/>
            </w14:solidFill>
          </w14:textFill>
        </w:rPr>
        <w:t xml:space="preserve"> </w:t>
      </w:r>
      <w:r>
        <w:rPr>
          <w:rFonts w:ascii="Times New Roman" w:hAnsi="Times New Roman" w:eastAsia="宋体" w:cs="Times New Roman"/>
          <w:bCs/>
          <w:color w:val="000000" w:themeColor="text1"/>
          <w:sz w:val="28"/>
          <w:szCs w:val="28"/>
          <w14:textFill>
            <w14:solidFill>
              <w14:schemeClr w14:val="tx1"/>
            </w14:solidFill>
          </w14:textFill>
        </w:rPr>
        <w:t>mm</w:t>
      </w:r>
      <w:r>
        <w:rPr>
          <w:rFonts w:hint="eastAsia" w:ascii="Times New Roman" w:hAnsi="Times New Roman" w:eastAsia="宋体" w:cs="Times New Roman"/>
          <w:bCs/>
          <w:color w:val="000000" w:themeColor="text1"/>
          <w:sz w:val="28"/>
          <w:szCs w:val="28"/>
          <w14:textFill>
            <w14:solidFill>
              <w14:schemeClr w14:val="tx1"/>
            </w14:solidFill>
          </w14:textFill>
        </w:rPr>
        <w:t>，成虫灰色至黑色，若虫灰黄色或橘黄色，为害隐蔽，不易用肉眼直接观察进行统计。为使操作方法在实际应用中应简易方便，取样时采取每样点随机取苜蓿主枝条</w:t>
      </w:r>
      <w:r>
        <w:rPr>
          <w:rFonts w:ascii="Times New Roman" w:hAnsi="Times New Roman" w:eastAsia="宋体" w:cs="Times New Roman"/>
          <w:bCs/>
          <w:color w:val="000000" w:themeColor="text1"/>
          <w:sz w:val="28"/>
          <w:szCs w:val="28"/>
          <w14:textFill>
            <w14:solidFill>
              <w14:schemeClr w14:val="tx1"/>
            </w14:solidFill>
          </w14:textFill>
        </w:rPr>
        <w:t>20~30枝，用透明塑料袋将其完全罩住，将苜蓿齐根剪下，封住塑料袋。</w:t>
      </w:r>
      <w:r>
        <w:rPr>
          <w:rFonts w:hint="eastAsia" w:ascii="Times New Roman" w:hAnsi="Times New Roman" w:eastAsia="宋体" w:cs="Times New Roman"/>
          <w:bCs/>
          <w:color w:val="000000" w:themeColor="text1"/>
          <w:sz w:val="28"/>
          <w:szCs w:val="28"/>
          <w14:textFill>
            <w14:solidFill>
              <w14:schemeClr w14:val="tx1"/>
            </w14:solidFill>
          </w14:textFill>
        </w:rPr>
        <w:t>此方法既避免可以避免因枝条拍打造成蓟马数量不准确，又保证了操作的准确性及简易性。</w:t>
      </w:r>
    </w:p>
    <w:p>
      <w:pPr>
        <w:pStyle w:val="4"/>
        <w:spacing w:before="0" w:after="0" w:line="360" w:lineRule="auto"/>
        <w:ind w:firstLine="562" w:firstLineChars="200"/>
        <w:rPr>
          <w:rFonts w:ascii="Times New Roman" w:hAnsi="Times New Roman" w:eastAsia="宋体" w:cs="Times New Roman"/>
          <w:sz w:val="28"/>
          <w:szCs w:val="28"/>
        </w:rPr>
      </w:pPr>
      <w:bookmarkStart w:id="82" w:name="_Toc19253"/>
      <w:bookmarkStart w:id="83" w:name="_Toc17923"/>
      <w:bookmarkStart w:id="84" w:name="_Toc22593"/>
      <w:bookmarkStart w:id="85" w:name="_Toc2602"/>
      <w:bookmarkStart w:id="86" w:name="_Toc6296"/>
      <w:r>
        <w:rPr>
          <w:rFonts w:ascii="Times New Roman" w:hAnsi="Times New Roman" w:eastAsia="宋体" w:cs="Times New Roman"/>
          <w:sz w:val="28"/>
          <w:szCs w:val="28"/>
        </w:rPr>
        <w:t>5.抗性评价</w:t>
      </w:r>
      <w:bookmarkEnd w:id="82"/>
      <w:bookmarkEnd w:id="83"/>
      <w:bookmarkEnd w:id="84"/>
      <w:bookmarkEnd w:id="85"/>
      <w:bookmarkEnd w:id="86"/>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该部分包括计算蓟马抗性指数、重复评价、分级评价三个部分。</w:t>
      </w:r>
    </w:p>
    <w:p>
      <w:pPr>
        <w:pStyle w:val="24"/>
        <w:numPr>
          <w:ilvl w:val="0"/>
          <w:numId w:val="1"/>
        </w:numPr>
        <w:spacing w:line="360" w:lineRule="auto"/>
        <w:ind w:firstLineChars="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蓟马抗性指数计算</w:t>
      </w:r>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 xml:space="preserve">  根据实际情况，蓟马抗性指数计算包括常规计算方法和经验估算方法。</w:t>
      </w:r>
    </w:p>
    <w:p>
      <w:pPr>
        <w:pStyle w:val="5"/>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理由及依据：</w:t>
      </w:r>
      <w:r>
        <w:rPr>
          <w:rFonts w:hint="eastAsia" w:ascii="Times New Roman" w:hAnsi="Times New Roman" w:eastAsia="宋体" w:cs="Times New Roman"/>
          <w:bCs/>
          <w:color w:val="000000" w:themeColor="text1"/>
          <w:sz w:val="28"/>
          <w:szCs w:val="28"/>
          <w14:textFill>
            <w14:solidFill>
              <w14:schemeClr w14:val="tx1"/>
            </w14:solidFill>
          </w14:textFill>
        </w:rPr>
        <w:t>蓟马抗性指数常规计算方法适用于多品种筛选评价。单一评价某一品种的蓟马抗性时，蓟马抗性指数常规计算方法无法满足需要。因此，为保证不同区域在进行不同种苜蓿主要蓟马抗性评价的顺利进行，本标准选取了两种蓟马抗性指数计算方法，即常规计算法以及经验估算法，可避免由于苜蓿品种过少造成评价结果不准确。</w:t>
      </w:r>
    </w:p>
    <w:p>
      <w:p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1）蓟马抗性指数常规计算方法</w:t>
      </w:r>
    </w:p>
    <w:p>
      <w:pPr>
        <w:spacing w:line="360" w:lineRule="auto"/>
        <w:ind w:firstLine="562" w:firstLineChars="200"/>
        <w:rPr>
          <w:rFonts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标准内容：</w:t>
      </w:r>
    </w:p>
    <w:p>
      <w:pPr>
        <w:spacing w:line="360" w:lineRule="auto"/>
        <w:ind w:firstLine="560" w:firstLineChars="200"/>
        <w:jc w:val="left"/>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按照标准文本第8章的方法分别调查，计算待评价苜蓿品种多小区、多次调查的蓟马种群数量平均值和本区域种植所有苜蓿品种多小区、多次调查的蓟马种群数量平均值，再按式（1）计算待评价苜蓿品种的蓟马抗性指数。</w:t>
      </w:r>
    </w:p>
    <w:p>
      <w:pPr>
        <w:snapToGrid w:val="0"/>
        <w:spacing w:before="312" w:beforeLines="100" w:line="360" w:lineRule="auto"/>
        <w:jc w:val="center"/>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cs="Times New Roman"/>
          <w:szCs w:val="21"/>
        </w:rPr>
        <w:drawing>
          <wp:inline distT="0" distB="0" distL="0" distR="0">
            <wp:extent cx="321945" cy="39814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21945" cy="398145"/>
                    </a:xfrm>
                    <a:prstGeom prst="rect">
                      <a:avLst/>
                    </a:prstGeom>
                    <a:noFill/>
                    <a:ln>
                      <a:noFill/>
                    </a:ln>
                  </pic:spPr>
                </pic:pic>
              </a:graphicData>
            </a:graphic>
          </wp:inline>
        </w:drawing>
      </w:r>
      <w:r>
        <w:rPr>
          <w:rFonts w:ascii="Times New Roman" w:hAnsi="Times New Roman" w:eastAsia="宋体" w:cs="Times New Roman"/>
          <w:bCs/>
          <w:color w:val="000000" w:themeColor="text1"/>
          <w:sz w:val="28"/>
          <w:szCs w:val="28"/>
          <w14:textFill>
            <w14:solidFill>
              <w14:schemeClr w14:val="tx1"/>
            </w14:solidFill>
          </w14:textFill>
        </w:rPr>
        <w:t>……………………（1）</w:t>
      </w:r>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式中：</w:t>
      </w:r>
    </w:p>
    <w:p>
      <w:pPr>
        <w:spacing w:line="360" w:lineRule="auto"/>
        <w:ind w:firstLine="1120" w:firstLineChars="4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Cs/>
          <w:color w:val="000000" w:themeColor="text1"/>
          <w:sz w:val="28"/>
          <w:szCs w:val="28"/>
          <w14:textFill>
            <w14:solidFill>
              <w14:schemeClr w14:val="tx1"/>
            </w14:solidFill>
          </w14:textFill>
        </w:rPr>
        <w:t>P-蓟马抗性指数；</w:t>
      </w:r>
    </w:p>
    <w:p>
      <w:pPr>
        <w:spacing w:line="360" w:lineRule="auto"/>
        <w:ind w:firstLine="1120" w:firstLineChars="4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Cs/>
          <w:color w:val="000000" w:themeColor="text1"/>
          <w:sz w:val="28"/>
          <w:szCs w:val="28"/>
          <w14:textFill>
            <w14:solidFill>
              <w14:schemeClr w14:val="tx1"/>
            </w14:solidFill>
          </w14:textFill>
        </w:rPr>
        <w:t>a-待评价苜蓿蓟马数，单位为头每百枝条（头/百枝条）；</w:t>
      </w:r>
    </w:p>
    <w:p>
      <w:pPr>
        <w:spacing w:line="360" w:lineRule="auto"/>
        <w:ind w:firstLine="1120" w:firstLineChars="4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Cs/>
          <w:color w:val="000000" w:themeColor="text1"/>
          <w:sz w:val="28"/>
          <w:szCs w:val="28"/>
          <w14:textFill>
            <w14:solidFill>
              <w14:schemeClr w14:val="tx1"/>
            </w14:solidFill>
          </w14:textFill>
        </w:rPr>
        <w:t>b-本区域所有苜蓿品种平均蓟马数，单位为头每百枝条（头/百枝条）。</w:t>
      </w:r>
    </w:p>
    <w:p>
      <w:pPr>
        <w:spacing w:line="360" w:lineRule="auto"/>
        <w:ind w:firstLine="560" w:firstLineChars="200"/>
        <w:jc w:val="left"/>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Cs/>
          <w:color w:val="000000" w:themeColor="text1"/>
          <w:sz w:val="28"/>
          <w:szCs w:val="28"/>
          <w14:textFill>
            <w14:solidFill>
              <w14:schemeClr w14:val="tx1"/>
            </w14:solidFill>
          </w14:textFill>
        </w:rPr>
        <w:t>注：在没有已知抗性级别苜蓿品种作为参照的区域内进行评价时；待测苜蓿品种较多或缺少区域对照品种时，均采用蓟马抗性指数常规计算方法。</w:t>
      </w:r>
    </w:p>
    <w:p>
      <w:pPr>
        <w:spacing w:line="360" w:lineRule="auto"/>
        <w:ind w:firstLine="562" w:firstLineChars="200"/>
        <w:rPr>
          <w:rFonts w:ascii="Times New Roman" w:hAnsi="Times New Roman" w:eastAsia="宋体" w:cs="Times New Roman"/>
          <w:bCs/>
          <w:sz w:val="28"/>
          <w:szCs w:val="28"/>
        </w:rPr>
      </w:pPr>
      <w:r>
        <w:rPr>
          <w:rFonts w:hint="eastAsia" w:ascii="Times New Roman" w:hAnsi="Times New Roman" w:eastAsia="宋体" w:cs="Times New Roman"/>
          <w:b/>
          <w:color w:val="000000" w:themeColor="text1"/>
          <w:sz w:val="28"/>
          <w:szCs w:val="28"/>
          <w14:textFill>
            <w14:solidFill>
              <w14:schemeClr w14:val="tx1"/>
            </w14:solidFill>
          </w14:textFill>
        </w:rPr>
        <w:t>理由及依据：</w:t>
      </w:r>
      <w:r>
        <w:rPr>
          <w:rFonts w:hint="eastAsia" w:ascii="Times New Roman" w:hAnsi="Times New Roman" w:eastAsia="宋体" w:cs="Times New Roman"/>
          <w:bCs/>
          <w:sz w:val="28"/>
          <w:szCs w:val="28"/>
        </w:rPr>
        <w:t>目前，关于苜蓿主要蓟马抗性评价采用的方法主要包括受害指数法（贺春贵等）、蓟马量比值法（袁庆华等）等。其中受害指数法是以叶片为单位，根据叶片被害症状设立5级受害标准（见表2），统计植株上部2</w:t>
      </w:r>
      <w:r>
        <w:rPr>
          <w:rFonts w:ascii="Times New Roman" w:hAnsi="Times New Roman" w:eastAsia="宋体" w:cs="Times New Roman"/>
          <w:bCs/>
          <w:sz w:val="28"/>
          <w:szCs w:val="28"/>
        </w:rPr>
        <w:t>0</w:t>
      </w:r>
      <w:r>
        <w:rPr>
          <w:rFonts w:hint="eastAsia" w:ascii="Times New Roman" w:hAnsi="Times New Roman" w:eastAsia="宋体" w:cs="Times New Roman"/>
          <w:bCs/>
          <w:sz w:val="28"/>
          <w:szCs w:val="28"/>
          <w:lang w:val="en-US" w:eastAsia="zh-CN"/>
        </w:rPr>
        <w:t xml:space="preserve"> </w:t>
      </w:r>
      <w:r>
        <w:rPr>
          <w:rFonts w:hint="eastAsia" w:ascii="Times New Roman" w:hAnsi="Times New Roman" w:eastAsia="宋体" w:cs="Times New Roman"/>
          <w:bCs/>
          <w:sz w:val="28"/>
          <w:szCs w:val="28"/>
        </w:rPr>
        <w:t>cm以内长度大于4</w:t>
      </w:r>
      <w:r>
        <w:rPr>
          <w:rFonts w:hint="eastAsia" w:ascii="Times New Roman" w:hAnsi="Times New Roman" w:eastAsia="宋体" w:cs="Times New Roman"/>
          <w:bCs/>
          <w:sz w:val="28"/>
          <w:szCs w:val="28"/>
          <w:lang w:val="en-US" w:eastAsia="zh-CN"/>
        </w:rPr>
        <w:t xml:space="preserve"> </w:t>
      </w:r>
      <w:r>
        <w:rPr>
          <w:rFonts w:ascii="Times New Roman" w:hAnsi="Times New Roman" w:eastAsia="宋体" w:cs="Times New Roman"/>
          <w:bCs/>
          <w:sz w:val="28"/>
          <w:szCs w:val="28"/>
        </w:rPr>
        <w:t>mm</w:t>
      </w:r>
      <w:r>
        <w:rPr>
          <w:rFonts w:hint="eastAsia" w:ascii="Times New Roman" w:hAnsi="Times New Roman" w:eastAsia="宋体" w:cs="Times New Roman"/>
          <w:bCs/>
          <w:sz w:val="28"/>
          <w:szCs w:val="28"/>
        </w:rPr>
        <w:t>以上叶片2</w:t>
      </w:r>
      <w:r>
        <w:rPr>
          <w:rFonts w:ascii="Times New Roman" w:hAnsi="Times New Roman" w:eastAsia="宋体" w:cs="Times New Roman"/>
          <w:bCs/>
          <w:sz w:val="28"/>
          <w:szCs w:val="28"/>
        </w:rPr>
        <w:t>0</w:t>
      </w:r>
      <w:r>
        <w:rPr>
          <w:rFonts w:hint="eastAsia" w:ascii="Times New Roman" w:hAnsi="Times New Roman" w:eastAsia="宋体" w:cs="Times New Roman"/>
          <w:bCs/>
          <w:sz w:val="28"/>
          <w:szCs w:val="28"/>
        </w:rPr>
        <w:t>个，分别统计受害级别，按照受害指数公式进行抗性评价，即受害指数=</w:t>
      </w:r>
      <w:r>
        <w:rPr>
          <w:rFonts w:ascii="Times New Roman" w:hAnsi="Times New Roman" w:eastAsia="宋体" w:cs="Times New Roman"/>
          <w:bCs/>
          <w:sz w:val="28"/>
          <w:szCs w:val="28"/>
        </w:rPr>
        <w:t>[</w:t>
      </w:r>
      <w:r>
        <w:rPr>
          <w:rFonts w:hint="eastAsia" w:ascii="Times New Roman" w:hAnsi="Times New Roman" w:eastAsia="宋体" w:cs="Times New Roman"/>
          <w:bCs/>
          <w:sz w:val="28"/>
          <w:szCs w:val="28"/>
        </w:rPr>
        <w:t>∑（受害级叶片数×受害级）/调查总叶片数×受害最高级值]×1</w:t>
      </w:r>
      <w:r>
        <w:rPr>
          <w:rFonts w:ascii="Times New Roman" w:hAnsi="Times New Roman" w:eastAsia="宋体" w:cs="Times New Roman"/>
          <w:bCs/>
          <w:sz w:val="28"/>
          <w:szCs w:val="28"/>
        </w:rPr>
        <w:t>00</w:t>
      </w:r>
      <w:r>
        <w:rPr>
          <w:rFonts w:hint="eastAsia" w:ascii="Times New Roman" w:hAnsi="Times New Roman" w:eastAsia="宋体" w:cs="Times New Roman"/>
          <w:bCs/>
          <w:sz w:val="28"/>
          <w:szCs w:val="28"/>
        </w:rPr>
        <w:t>%。此方法未对受害指数进行明确的分级划分，且在对叶片被害症状进行分级判定时，主要依据表观症状进行，未进行定量统计。</w:t>
      </w:r>
    </w:p>
    <w:p>
      <w:pPr>
        <w:spacing w:line="360" w:lineRule="auto"/>
        <w:ind w:firstLine="560" w:firstLineChars="200"/>
        <w:rPr>
          <w:rFonts w:ascii="Times New Roman" w:hAnsi="Times New Roman" w:eastAsia="宋体" w:cs="Times New Roman"/>
          <w:bCs/>
          <w:sz w:val="28"/>
          <w:szCs w:val="28"/>
        </w:rPr>
      </w:pPr>
      <w:r>
        <w:rPr>
          <w:rFonts w:hint="eastAsia" w:ascii="Times New Roman" w:hAnsi="Times New Roman" w:eastAsia="宋体" w:cs="Times New Roman"/>
          <w:bCs/>
          <w:sz w:val="28"/>
          <w:szCs w:val="28"/>
        </w:rPr>
        <w:t>蓟马量比值法是根据蓟马发生量进行计算，计算公式为：蓟马量比值=各材料每枝条蓟马数/全部材料平均每枝条蓟马数。该方法由袁庆华等人提出，计算了2年共计1</w:t>
      </w:r>
      <w:r>
        <w:rPr>
          <w:rFonts w:ascii="Times New Roman" w:hAnsi="Times New Roman" w:eastAsia="宋体" w:cs="Times New Roman"/>
          <w:bCs/>
          <w:sz w:val="28"/>
          <w:szCs w:val="28"/>
        </w:rPr>
        <w:t>0</w:t>
      </w:r>
      <w:r>
        <w:rPr>
          <w:rFonts w:hint="eastAsia" w:ascii="Times New Roman" w:hAnsi="Times New Roman" w:eastAsia="宋体" w:cs="Times New Roman"/>
          <w:bCs/>
          <w:sz w:val="28"/>
          <w:szCs w:val="28"/>
        </w:rPr>
        <w:t>个重复蓟马量比值的平均值，以最高平均值作为指标，将抗蓟马级别划分为</w:t>
      </w:r>
      <w:r>
        <w:rPr>
          <w:rFonts w:ascii="Times New Roman" w:hAnsi="Times New Roman" w:eastAsia="宋体" w:cs="Times New Roman"/>
          <w:bCs/>
          <w:sz w:val="28"/>
          <w:szCs w:val="28"/>
        </w:rPr>
        <w:t>6</w:t>
      </w:r>
      <w:r>
        <w:rPr>
          <w:rFonts w:hint="eastAsia" w:ascii="Times New Roman" w:hAnsi="Times New Roman" w:eastAsia="宋体" w:cs="Times New Roman"/>
          <w:bCs/>
          <w:sz w:val="28"/>
          <w:szCs w:val="28"/>
        </w:rPr>
        <w:t>级：1级高抗（H</w:t>
      </w:r>
      <w:r>
        <w:rPr>
          <w:rFonts w:ascii="Times New Roman" w:hAnsi="Times New Roman" w:eastAsia="宋体" w:cs="Times New Roman"/>
          <w:bCs/>
          <w:sz w:val="28"/>
          <w:szCs w:val="28"/>
        </w:rPr>
        <w:t>R</w:t>
      </w:r>
      <w:r>
        <w:rPr>
          <w:rFonts w:hint="eastAsia" w:ascii="Times New Roman" w:hAnsi="Times New Roman" w:eastAsia="宋体" w:cs="Times New Roman"/>
          <w:bCs/>
          <w:sz w:val="28"/>
          <w:szCs w:val="28"/>
        </w:rPr>
        <w:t>）：0-</w:t>
      </w:r>
      <w:r>
        <w:rPr>
          <w:rFonts w:ascii="Times New Roman" w:hAnsi="Times New Roman" w:eastAsia="宋体" w:cs="Times New Roman"/>
          <w:bCs/>
          <w:sz w:val="28"/>
          <w:szCs w:val="28"/>
        </w:rPr>
        <w:t>0.30</w:t>
      </w:r>
      <w:r>
        <w:rPr>
          <w:rFonts w:hint="eastAsia" w:ascii="Times New Roman" w:hAnsi="Times New Roman" w:eastAsia="宋体" w:cs="Times New Roman"/>
          <w:bCs/>
          <w:sz w:val="28"/>
          <w:szCs w:val="28"/>
        </w:rPr>
        <w:t>；2级中抗（M</w:t>
      </w:r>
      <w:r>
        <w:rPr>
          <w:rFonts w:ascii="Times New Roman" w:hAnsi="Times New Roman" w:eastAsia="宋体" w:cs="Times New Roman"/>
          <w:bCs/>
          <w:sz w:val="28"/>
          <w:szCs w:val="28"/>
        </w:rPr>
        <w:t>R</w:t>
      </w:r>
      <w:r>
        <w:rPr>
          <w:rFonts w:hint="eastAsia" w:ascii="Times New Roman" w:hAnsi="Times New Roman" w:eastAsia="宋体" w:cs="Times New Roman"/>
          <w:bCs/>
          <w:sz w:val="28"/>
          <w:szCs w:val="28"/>
        </w:rPr>
        <w:t>）,</w:t>
      </w:r>
      <w:r>
        <w:rPr>
          <w:rFonts w:ascii="Times New Roman" w:hAnsi="Times New Roman" w:eastAsia="宋体" w:cs="Times New Roman"/>
          <w:bCs/>
          <w:sz w:val="28"/>
          <w:szCs w:val="28"/>
        </w:rPr>
        <w:t>0.31</w:t>
      </w:r>
      <w:r>
        <w:rPr>
          <w:rFonts w:hint="eastAsia" w:ascii="Times New Roman" w:hAnsi="Times New Roman" w:eastAsia="宋体" w:cs="Times New Roman"/>
          <w:bCs/>
          <w:sz w:val="28"/>
          <w:szCs w:val="28"/>
        </w:rPr>
        <w:t>-</w:t>
      </w:r>
      <w:r>
        <w:rPr>
          <w:rFonts w:ascii="Times New Roman" w:hAnsi="Times New Roman" w:eastAsia="宋体" w:cs="Times New Roman"/>
          <w:bCs/>
          <w:sz w:val="28"/>
          <w:szCs w:val="28"/>
        </w:rPr>
        <w:t>0.60</w:t>
      </w:r>
      <w:r>
        <w:rPr>
          <w:rFonts w:hint="eastAsia" w:ascii="Times New Roman" w:hAnsi="Times New Roman" w:eastAsia="宋体" w:cs="Times New Roman"/>
          <w:bCs/>
          <w:sz w:val="28"/>
          <w:szCs w:val="28"/>
        </w:rPr>
        <w:t>；3级低抗（L</w:t>
      </w:r>
      <w:r>
        <w:rPr>
          <w:rFonts w:ascii="Times New Roman" w:hAnsi="Times New Roman" w:eastAsia="宋体" w:cs="Times New Roman"/>
          <w:bCs/>
          <w:sz w:val="28"/>
          <w:szCs w:val="28"/>
        </w:rPr>
        <w:t>R</w:t>
      </w:r>
      <w:r>
        <w:rPr>
          <w:rFonts w:hint="eastAsia" w:ascii="Times New Roman" w:hAnsi="Times New Roman" w:eastAsia="宋体" w:cs="Times New Roman"/>
          <w:bCs/>
          <w:sz w:val="28"/>
          <w:szCs w:val="28"/>
        </w:rPr>
        <w:t>）：0</w:t>
      </w:r>
      <w:r>
        <w:rPr>
          <w:rFonts w:ascii="Times New Roman" w:hAnsi="Times New Roman" w:eastAsia="宋体" w:cs="Times New Roman"/>
          <w:bCs/>
          <w:sz w:val="28"/>
          <w:szCs w:val="28"/>
        </w:rPr>
        <w:t>.61</w:t>
      </w:r>
      <w:r>
        <w:rPr>
          <w:rFonts w:hint="eastAsia" w:ascii="Times New Roman" w:hAnsi="Times New Roman" w:eastAsia="宋体" w:cs="Times New Roman"/>
          <w:bCs/>
          <w:sz w:val="28"/>
          <w:szCs w:val="28"/>
        </w:rPr>
        <w:t>-</w:t>
      </w:r>
      <w:r>
        <w:rPr>
          <w:rFonts w:ascii="Times New Roman" w:hAnsi="Times New Roman" w:eastAsia="宋体" w:cs="Times New Roman"/>
          <w:bCs/>
          <w:sz w:val="28"/>
          <w:szCs w:val="28"/>
        </w:rPr>
        <w:t>0.90</w:t>
      </w:r>
      <w:r>
        <w:rPr>
          <w:rFonts w:hint="eastAsia" w:ascii="Times New Roman" w:hAnsi="Times New Roman" w:eastAsia="宋体" w:cs="Times New Roman"/>
          <w:bCs/>
          <w:sz w:val="28"/>
          <w:szCs w:val="28"/>
        </w:rPr>
        <w:t>；4级低感（L</w:t>
      </w:r>
      <w:r>
        <w:rPr>
          <w:rFonts w:ascii="Times New Roman" w:hAnsi="Times New Roman" w:eastAsia="宋体" w:cs="Times New Roman"/>
          <w:bCs/>
          <w:sz w:val="28"/>
          <w:szCs w:val="28"/>
        </w:rPr>
        <w:t>S</w:t>
      </w:r>
      <w:r>
        <w:rPr>
          <w:rFonts w:hint="eastAsia" w:ascii="Times New Roman" w:hAnsi="Times New Roman" w:eastAsia="宋体" w:cs="Times New Roman"/>
          <w:bCs/>
          <w:sz w:val="28"/>
          <w:szCs w:val="28"/>
        </w:rPr>
        <w:t>）：0</w:t>
      </w:r>
      <w:r>
        <w:rPr>
          <w:rFonts w:ascii="Times New Roman" w:hAnsi="Times New Roman" w:eastAsia="宋体" w:cs="Times New Roman"/>
          <w:bCs/>
          <w:sz w:val="28"/>
          <w:szCs w:val="28"/>
        </w:rPr>
        <w:t>.91</w:t>
      </w:r>
      <w:r>
        <w:rPr>
          <w:rFonts w:hint="eastAsia" w:ascii="Times New Roman" w:hAnsi="Times New Roman" w:eastAsia="宋体" w:cs="Times New Roman"/>
          <w:bCs/>
          <w:sz w:val="28"/>
          <w:szCs w:val="28"/>
        </w:rPr>
        <w:t>-</w:t>
      </w:r>
      <w:r>
        <w:rPr>
          <w:rFonts w:ascii="Times New Roman" w:hAnsi="Times New Roman" w:eastAsia="宋体" w:cs="Times New Roman"/>
          <w:bCs/>
          <w:sz w:val="28"/>
          <w:szCs w:val="28"/>
        </w:rPr>
        <w:t>1.20</w:t>
      </w:r>
      <w:r>
        <w:rPr>
          <w:rFonts w:hint="eastAsia" w:ascii="Times New Roman" w:hAnsi="Times New Roman" w:eastAsia="宋体" w:cs="Times New Roman"/>
          <w:bCs/>
          <w:sz w:val="28"/>
          <w:szCs w:val="28"/>
        </w:rPr>
        <w:t>；5级中感（M</w:t>
      </w:r>
      <w:r>
        <w:rPr>
          <w:rFonts w:ascii="Times New Roman" w:hAnsi="Times New Roman" w:eastAsia="宋体" w:cs="Times New Roman"/>
          <w:bCs/>
          <w:sz w:val="28"/>
          <w:szCs w:val="28"/>
        </w:rPr>
        <w:t>S</w:t>
      </w:r>
      <w:r>
        <w:rPr>
          <w:rFonts w:hint="eastAsia" w:ascii="Times New Roman" w:hAnsi="Times New Roman" w:eastAsia="宋体" w:cs="Times New Roman"/>
          <w:bCs/>
          <w:sz w:val="28"/>
          <w:szCs w:val="28"/>
        </w:rPr>
        <w:t>）：1</w:t>
      </w:r>
      <w:r>
        <w:rPr>
          <w:rFonts w:ascii="Times New Roman" w:hAnsi="Times New Roman" w:eastAsia="宋体" w:cs="Times New Roman"/>
          <w:bCs/>
          <w:sz w:val="28"/>
          <w:szCs w:val="28"/>
        </w:rPr>
        <w:t>.20</w:t>
      </w:r>
      <w:r>
        <w:rPr>
          <w:rFonts w:hint="eastAsia" w:ascii="Times New Roman" w:hAnsi="Times New Roman" w:eastAsia="宋体" w:cs="Times New Roman"/>
          <w:bCs/>
          <w:sz w:val="28"/>
          <w:szCs w:val="28"/>
        </w:rPr>
        <w:t>-</w:t>
      </w:r>
      <w:r>
        <w:rPr>
          <w:rFonts w:ascii="Times New Roman" w:hAnsi="Times New Roman" w:eastAsia="宋体" w:cs="Times New Roman"/>
          <w:bCs/>
          <w:sz w:val="28"/>
          <w:szCs w:val="28"/>
        </w:rPr>
        <w:t>1.50</w:t>
      </w:r>
      <w:r>
        <w:rPr>
          <w:rFonts w:hint="eastAsia" w:ascii="Times New Roman" w:hAnsi="Times New Roman" w:eastAsia="宋体" w:cs="Times New Roman"/>
          <w:bCs/>
          <w:sz w:val="28"/>
          <w:szCs w:val="28"/>
        </w:rPr>
        <w:t>；6级高感（H</w:t>
      </w:r>
      <w:r>
        <w:rPr>
          <w:rFonts w:ascii="Times New Roman" w:hAnsi="Times New Roman" w:eastAsia="宋体" w:cs="Times New Roman"/>
          <w:bCs/>
          <w:sz w:val="28"/>
          <w:szCs w:val="28"/>
        </w:rPr>
        <w:t>S</w:t>
      </w:r>
      <w:r>
        <w:rPr>
          <w:rFonts w:hint="eastAsia" w:ascii="Times New Roman" w:hAnsi="Times New Roman" w:eastAsia="宋体" w:cs="Times New Roman"/>
          <w:bCs/>
          <w:sz w:val="28"/>
          <w:szCs w:val="28"/>
        </w:rPr>
        <w:t>）＞1</w:t>
      </w:r>
      <w:r>
        <w:rPr>
          <w:rFonts w:ascii="Times New Roman" w:hAnsi="Times New Roman" w:eastAsia="宋体" w:cs="Times New Roman"/>
          <w:bCs/>
          <w:sz w:val="28"/>
          <w:szCs w:val="28"/>
        </w:rPr>
        <w:t>.50</w:t>
      </w:r>
      <w:r>
        <w:rPr>
          <w:rFonts w:hint="eastAsia" w:ascii="Times New Roman" w:hAnsi="Times New Roman" w:eastAsia="宋体" w:cs="Times New Roman"/>
          <w:bCs/>
          <w:sz w:val="28"/>
          <w:szCs w:val="28"/>
        </w:rPr>
        <w:t>。</w:t>
      </w:r>
    </w:p>
    <w:p>
      <w:pPr>
        <w:spacing w:line="360" w:lineRule="auto"/>
        <w:ind w:firstLine="562" w:firstLineChars="200"/>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表2</w:t>
      </w:r>
      <w:r>
        <w:rPr>
          <w:rFonts w:ascii="Times New Roman" w:hAnsi="Times New Roman" w:eastAsia="宋体" w:cs="Times New Roman"/>
          <w:b/>
          <w:sz w:val="28"/>
          <w:szCs w:val="28"/>
        </w:rPr>
        <w:t xml:space="preserve"> </w:t>
      </w:r>
      <w:r>
        <w:rPr>
          <w:rFonts w:hint="eastAsia" w:ascii="Times New Roman" w:hAnsi="Times New Roman" w:eastAsia="宋体" w:cs="Times New Roman"/>
          <w:b/>
          <w:sz w:val="28"/>
          <w:szCs w:val="28"/>
        </w:rPr>
        <w:t>苜蓿叶片受蓟马为害的分级标准</w:t>
      </w:r>
    </w:p>
    <w:tbl>
      <w:tblPr>
        <w:tblStyle w:val="18"/>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spacing w:line="360" w:lineRule="auto"/>
              <w:jc w:val="center"/>
              <w:rPr>
                <w:rFonts w:ascii="Times New Roman" w:hAnsi="Times New Roman" w:eastAsia="宋体" w:cs="Times New Roman"/>
                <w:b/>
                <w:sz w:val="24"/>
                <w:szCs w:val="24"/>
              </w:rPr>
            </w:pPr>
            <w:r>
              <w:rPr>
                <w:rFonts w:hint="eastAsia" w:ascii="Times New Roman" w:hAnsi="Times New Roman" w:eastAsia="宋体" w:cs="Times New Roman"/>
                <w:b/>
                <w:sz w:val="24"/>
                <w:szCs w:val="24"/>
              </w:rPr>
              <w:t>受害叶分级</w:t>
            </w:r>
          </w:p>
        </w:tc>
        <w:tc>
          <w:tcPr>
            <w:tcW w:w="7796" w:type="dxa"/>
            <w:vAlign w:val="center"/>
          </w:tcPr>
          <w:p>
            <w:pPr>
              <w:spacing w:line="360" w:lineRule="auto"/>
              <w:jc w:val="center"/>
              <w:rPr>
                <w:rFonts w:ascii="Times New Roman" w:hAnsi="Times New Roman" w:eastAsia="宋体" w:cs="Times New Roman"/>
                <w:b/>
                <w:sz w:val="24"/>
                <w:szCs w:val="24"/>
              </w:rPr>
            </w:pPr>
            <w:r>
              <w:rPr>
                <w:rFonts w:hint="eastAsia" w:ascii="Times New Roman" w:hAnsi="Times New Roman" w:eastAsia="宋体" w:cs="Times New Roman"/>
                <w:b/>
                <w:sz w:val="24"/>
                <w:szCs w:val="24"/>
              </w:rPr>
              <w:t>被害症状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spacing w:line="360" w:lineRule="auto"/>
              <w:jc w:val="center"/>
              <w:rPr>
                <w:rFonts w:ascii="Times New Roman" w:hAnsi="Times New Roman" w:eastAsia="宋体" w:cs="Times New Roman"/>
                <w:bCs/>
                <w:sz w:val="24"/>
                <w:szCs w:val="24"/>
              </w:rPr>
            </w:pPr>
            <w:r>
              <w:rPr>
                <w:rFonts w:ascii="Times New Roman" w:hAnsi="Times New Roman" w:eastAsia="宋体" w:cs="Times New Roman"/>
                <w:bCs/>
                <w:sz w:val="24"/>
                <w:szCs w:val="24"/>
              </w:rPr>
              <w:t>0</w:t>
            </w:r>
          </w:p>
        </w:tc>
        <w:tc>
          <w:tcPr>
            <w:tcW w:w="7796" w:type="dxa"/>
            <w:vAlign w:val="center"/>
          </w:tcPr>
          <w:p>
            <w:pPr>
              <w:spacing w:line="360" w:lineRule="auto"/>
              <w:rPr>
                <w:rFonts w:ascii="Times New Roman" w:hAnsi="Times New Roman" w:eastAsia="宋体" w:cs="Times New Roman"/>
                <w:bCs/>
                <w:sz w:val="24"/>
                <w:szCs w:val="24"/>
              </w:rPr>
            </w:pPr>
            <w:r>
              <w:rPr>
                <w:rFonts w:ascii="Times New Roman" w:hAnsi="Times New Roman" w:eastAsia="宋体" w:cs="Times New Roman"/>
                <w:bCs/>
                <w:sz w:val="24"/>
                <w:szCs w:val="24"/>
              </w:rPr>
              <w:t>叶片绿色，正常，无任何蓟马为害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spacing w:line="360" w:lineRule="auto"/>
              <w:jc w:val="center"/>
              <w:rPr>
                <w:rFonts w:ascii="Times New Roman" w:hAnsi="Times New Roman" w:eastAsia="宋体" w:cs="Times New Roman"/>
                <w:bCs/>
                <w:sz w:val="24"/>
                <w:szCs w:val="24"/>
              </w:rPr>
            </w:pPr>
            <w:r>
              <w:rPr>
                <w:rFonts w:ascii="Times New Roman" w:hAnsi="Times New Roman" w:eastAsia="宋体" w:cs="Times New Roman"/>
                <w:bCs/>
                <w:sz w:val="24"/>
                <w:szCs w:val="24"/>
              </w:rPr>
              <w:t>1</w:t>
            </w:r>
          </w:p>
        </w:tc>
        <w:tc>
          <w:tcPr>
            <w:tcW w:w="7796" w:type="dxa"/>
            <w:vAlign w:val="center"/>
          </w:tcPr>
          <w:p>
            <w:pPr>
              <w:spacing w:line="360" w:lineRule="auto"/>
              <w:rPr>
                <w:rFonts w:ascii="Times New Roman" w:hAnsi="Times New Roman" w:eastAsia="宋体" w:cs="Times New Roman"/>
                <w:bCs/>
                <w:sz w:val="24"/>
                <w:szCs w:val="24"/>
              </w:rPr>
            </w:pPr>
            <w:r>
              <w:rPr>
                <w:rFonts w:ascii="Times New Roman" w:hAnsi="Times New Roman" w:eastAsia="宋体" w:cs="Times New Roman"/>
                <w:bCs/>
                <w:sz w:val="24"/>
                <w:szCs w:val="24"/>
              </w:rPr>
              <w:t>叶片绿色，有个别虫伤斑点或轻微扭曲，叶基本平展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spacing w:line="360" w:lineRule="auto"/>
              <w:jc w:val="center"/>
              <w:rPr>
                <w:rFonts w:ascii="Times New Roman" w:hAnsi="Times New Roman" w:eastAsia="宋体" w:cs="Times New Roman"/>
                <w:bCs/>
                <w:sz w:val="24"/>
                <w:szCs w:val="24"/>
              </w:rPr>
            </w:pPr>
            <w:r>
              <w:rPr>
                <w:rFonts w:ascii="Times New Roman" w:hAnsi="Times New Roman" w:eastAsia="宋体" w:cs="Times New Roman"/>
                <w:bCs/>
                <w:sz w:val="24"/>
                <w:szCs w:val="24"/>
              </w:rPr>
              <w:t>2</w:t>
            </w:r>
          </w:p>
        </w:tc>
        <w:tc>
          <w:tcPr>
            <w:tcW w:w="7796" w:type="dxa"/>
            <w:vAlign w:val="center"/>
          </w:tcPr>
          <w:p>
            <w:pPr>
              <w:spacing w:line="360" w:lineRule="auto"/>
              <w:rPr>
                <w:rFonts w:ascii="Times New Roman" w:hAnsi="Times New Roman" w:eastAsia="宋体" w:cs="Times New Roman"/>
                <w:bCs/>
                <w:sz w:val="24"/>
                <w:szCs w:val="24"/>
              </w:rPr>
            </w:pPr>
            <w:r>
              <w:rPr>
                <w:rFonts w:ascii="Times New Roman" w:hAnsi="Times New Roman" w:eastAsia="宋体" w:cs="Times New Roman"/>
                <w:bCs/>
                <w:sz w:val="24"/>
                <w:szCs w:val="24"/>
              </w:rPr>
              <w:t>叶片绿色，有明显虫伤，伤口愈合成线或斑，叶片开始皱缩、变形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spacing w:line="360" w:lineRule="auto"/>
              <w:jc w:val="center"/>
              <w:rPr>
                <w:rFonts w:ascii="Times New Roman" w:hAnsi="Times New Roman" w:eastAsia="宋体" w:cs="Times New Roman"/>
                <w:bCs/>
                <w:sz w:val="24"/>
                <w:szCs w:val="24"/>
              </w:rPr>
            </w:pPr>
            <w:r>
              <w:rPr>
                <w:rFonts w:ascii="Times New Roman" w:hAnsi="Times New Roman" w:eastAsia="宋体" w:cs="Times New Roman"/>
                <w:bCs/>
                <w:sz w:val="24"/>
                <w:szCs w:val="24"/>
              </w:rPr>
              <w:t>3</w:t>
            </w:r>
          </w:p>
        </w:tc>
        <w:tc>
          <w:tcPr>
            <w:tcW w:w="7796" w:type="dxa"/>
            <w:vAlign w:val="center"/>
          </w:tcPr>
          <w:p>
            <w:pPr>
              <w:spacing w:line="360" w:lineRule="auto"/>
              <w:rPr>
                <w:rFonts w:ascii="Times New Roman" w:hAnsi="Times New Roman" w:eastAsia="宋体" w:cs="Times New Roman"/>
                <w:bCs/>
                <w:sz w:val="24"/>
                <w:szCs w:val="24"/>
              </w:rPr>
            </w:pPr>
            <w:r>
              <w:rPr>
                <w:rFonts w:ascii="Times New Roman" w:hAnsi="Times New Roman" w:eastAsia="宋体" w:cs="Times New Roman"/>
                <w:bCs/>
                <w:sz w:val="24"/>
                <w:szCs w:val="24"/>
              </w:rPr>
              <w:t>叶片基本绿色或因明显皱缩变成深绿色，虫伤多且几乎全叶皱缩，部分边缘或中间虫伤愈合部干枯变白或形成空洞，全叶变形，并部分开始卷曲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spacing w:line="360" w:lineRule="auto"/>
              <w:jc w:val="center"/>
              <w:rPr>
                <w:rFonts w:ascii="Times New Roman" w:hAnsi="Times New Roman" w:eastAsia="宋体" w:cs="Times New Roman"/>
                <w:bCs/>
                <w:sz w:val="24"/>
                <w:szCs w:val="24"/>
              </w:rPr>
            </w:pPr>
            <w:r>
              <w:rPr>
                <w:rFonts w:ascii="Times New Roman" w:hAnsi="Times New Roman" w:eastAsia="宋体" w:cs="Times New Roman"/>
                <w:bCs/>
                <w:sz w:val="24"/>
                <w:szCs w:val="24"/>
              </w:rPr>
              <w:t>4</w:t>
            </w:r>
          </w:p>
        </w:tc>
        <w:tc>
          <w:tcPr>
            <w:tcW w:w="7796" w:type="dxa"/>
            <w:vAlign w:val="center"/>
          </w:tcPr>
          <w:p>
            <w:pPr>
              <w:spacing w:line="360" w:lineRule="auto"/>
              <w:rPr>
                <w:rFonts w:ascii="Times New Roman" w:hAnsi="Times New Roman" w:eastAsia="宋体" w:cs="Times New Roman"/>
                <w:bCs/>
                <w:sz w:val="24"/>
                <w:szCs w:val="24"/>
              </w:rPr>
            </w:pPr>
            <w:r>
              <w:rPr>
                <w:rFonts w:ascii="Times New Roman" w:hAnsi="Times New Roman" w:eastAsia="宋体" w:cs="Times New Roman"/>
                <w:bCs/>
                <w:sz w:val="24"/>
                <w:szCs w:val="24"/>
              </w:rPr>
              <w:t>叶片内折卷合扭曲，1/3以上部分干枯变成白色，状如茶叶丝</w:t>
            </w:r>
          </w:p>
        </w:tc>
      </w:tr>
    </w:tbl>
    <w:p>
      <w:pPr>
        <w:spacing w:line="360" w:lineRule="auto"/>
        <w:ind w:firstLine="560" w:firstLineChars="200"/>
        <w:rPr>
          <w:rFonts w:ascii="Times New Roman" w:hAnsi="Times New Roman" w:eastAsia="宋体" w:cs="Times New Roman"/>
          <w:bCs/>
          <w:sz w:val="28"/>
          <w:szCs w:val="28"/>
        </w:rPr>
      </w:pPr>
      <w:r>
        <w:rPr>
          <w:rFonts w:hint="eastAsia" w:ascii="Times New Roman" w:hAnsi="Times New Roman" w:eastAsia="宋体" w:cs="Times New Roman"/>
          <w:bCs/>
          <w:sz w:val="28"/>
          <w:szCs w:val="28"/>
        </w:rPr>
        <w:t>为</w:t>
      </w:r>
      <w:r>
        <w:rPr>
          <w:rFonts w:ascii="Times New Roman" w:hAnsi="Times New Roman" w:eastAsia="宋体" w:cs="Times New Roman"/>
          <w:bCs/>
          <w:sz w:val="28"/>
          <w:szCs w:val="28"/>
        </w:rPr>
        <w:t>建</w:t>
      </w:r>
      <w:r>
        <w:rPr>
          <w:rFonts w:hint="eastAsia" w:ascii="Times New Roman" w:hAnsi="Times New Roman" w:eastAsia="宋体" w:cs="Times New Roman"/>
          <w:bCs/>
          <w:sz w:val="28"/>
          <w:szCs w:val="28"/>
        </w:rPr>
        <w:t>立</w:t>
      </w:r>
      <w:r>
        <w:rPr>
          <w:rFonts w:ascii="Times New Roman" w:hAnsi="Times New Roman" w:eastAsia="宋体" w:cs="Times New Roman"/>
          <w:bCs/>
          <w:sz w:val="28"/>
          <w:szCs w:val="28"/>
        </w:rPr>
        <w:t>合理的</w:t>
      </w:r>
      <w:r>
        <w:rPr>
          <w:rFonts w:hint="eastAsia" w:ascii="Times New Roman" w:hAnsi="Times New Roman" w:eastAsia="宋体" w:cs="Times New Roman"/>
          <w:bCs/>
          <w:sz w:val="28"/>
          <w:szCs w:val="28"/>
        </w:rPr>
        <w:t>、</w:t>
      </w:r>
      <w:r>
        <w:rPr>
          <w:rFonts w:ascii="Times New Roman" w:hAnsi="Times New Roman" w:eastAsia="宋体" w:cs="Times New Roman"/>
          <w:bCs/>
          <w:sz w:val="28"/>
          <w:szCs w:val="28"/>
        </w:rPr>
        <w:t>操作性强的</w:t>
      </w:r>
      <w:r>
        <w:rPr>
          <w:rFonts w:hint="eastAsia" w:ascii="Times New Roman" w:hAnsi="Times New Roman" w:eastAsia="宋体" w:cs="Times New Roman"/>
          <w:bCs/>
          <w:sz w:val="28"/>
          <w:szCs w:val="28"/>
        </w:rPr>
        <w:t>苜蓿主要蓟马抗性评价方法，工作组在河北、内蒙古、陕西、云南、黑龙江、新疆、宁夏等苜蓿种植区域开展了为期3年的苜蓿主要蓟马抗性调查。每个</w:t>
      </w:r>
      <w:r>
        <w:rPr>
          <w:rFonts w:ascii="Times New Roman" w:hAnsi="Times New Roman" w:eastAsia="宋体" w:cs="Times New Roman"/>
          <w:bCs/>
          <w:sz w:val="28"/>
          <w:szCs w:val="28"/>
        </w:rPr>
        <w:t>区域</w:t>
      </w:r>
      <w:r>
        <w:rPr>
          <w:rFonts w:hint="eastAsia" w:ascii="Times New Roman" w:hAnsi="Times New Roman" w:eastAsia="宋体" w:cs="Times New Roman"/>
          <w:bCs/>
          <w:sz w:val="28"/>
          <w:szCs w:val="28"/>
        </w:rPr>
        <w:t>选取3</w:t>
      </w:r>
      <w:r>
        <w:rPr>
          <w:rFonts w:ascii="Times New Roman" w:hAnsi="Times New Roman" w:eastAsia="宋体" w:cs="Times New Roman"/>
          <w:bCs/>
          <w:sz w:val="28"/>
          <w:szCs w:val="28"/>
        </w:rPr>
        <w:t>0</w:t>
      </w:r>
      <w:r>
        <w:rPr>
          <w:rFonts w:hint="eastAsia" w:ascii="Times New Roman" w:hAnsi="Times New Roman" w:eastAsia="宋体" w:cs="Times New Roman"/>
          <w:bCs/>
          <w:sz w:val="28"/>
          <w:szCs w:val="28"/>
        </w:rPr>
        <w:t>种主要苜蓿种植品种，每年进行3-</w:t>
      </w:r>
      <w:r>
        <w:rPr>
          <w:rFonts w:ascii="Times New Roman" w:hAnsi="Times New Roman" w:eastAsia="宋体" w:cs="Times New Roman"/>
          <w:bCs/>
          <w:sz w:val="28"/>
          <w:szCs w:val="28"/>
        </w:rPr>
        <w:t>4</w:t>
      </w:r>
      <w:r>
        <w:rPr>
          <w:rFonts w:hint="eastAsia" w:ascii="Times New Roman" w:hAnsi="Times New Roman" w:eastAsia="宋体" w:cs="Times New Roman"/>
          <w:bCs/>
          <w:sz w:val="28"/>
          <w:szCs w:val="28"/>
        </w:rPr>
        <w:t>次调查，共获得</w:t>
      </w:r>
      <w:r>
        <w:rPr>
          <w:rFonts w:ascii="Times New Roman" w:hAnsi="Times New Roman" w:eastAsia="宋体" w:cs="Times New Roman"/>
          <w:bCs/>
          <w:sz w:val="28"/>
          <w:szCs w:val="28"/>
        </w:rPr>
        <w:t>了</w:t>
      </w:r>
      <w:r>
        <w:rPr>
          <w:rFonts w:hint="eastAsia" w:ascii="Times New Roman" w:hAnsi="Times New Roman" w:eastAsia="宋体" w:cs="Times New Roman"/>
          <w:bCs/>
          <w:sz w:val="28"/>
          <w:szCs w:val="28"/>
        </w:rPr>
        <w:t>1</w:t>
      </w:r>
      <w:r>
        <w:rPr>
          <w:rFonts w:ascii="Times New Roman" w:hAnsi="Times New Roman" w:eastAsia="宋体" w:cs="Times New Roman"/>
          <w:bCs/>
          <w:sz w:val="28"/>
          <w:szCs w:val="28"/>
        </w:rPr>
        <w:t>2600</w:t>
      </w:r>
      <w:r>
        <w:rPr>
          <w:rFonts w:hint="eastAsia" w:ascii="Times New Roman" w:hAnsi="Times New Roman" w:eastAsia="宋体" w:cs="Times New Roman"/>
          <w:bCs/>
          <w:sz w:val="28"/>
          <w:szCs w:val="28"/>
        </w:rPr>
        <w:t>余条主要蓟马抗性调查数据，</w:t>
      </w:r>
      <w:r>
        <w:rPr>
          <w:rFonts w:ascii="Times New Roman" w:hAnsi="Times New Roman" w:eastAsia="宋体" w:cs="Times New Roman"/>
          <w:bCs/>
          <w:sz w:val="28"/>
          <w:szCs w:val="28"/>
        </w:rPr>
        <w:t>在此基础上，</w:t>
      </w:r>
      <w:r>
        <w:rPr>
          <w:rFonts w:hint="eastAsia" w:ascii="Times New Roman" w:hAnsi="Times New Roman" w:eastAsia="宋体" w:cs="Times New Roman"/>
          <w:bCs/>
          <w:sz w:val="28"/>
          <w:szCs w:val="28"/>
        </w:rPr>
        <w:t>采用不同的评价方法分年度对调查数据</w:t>
      </w:r>
      <w:r>
        <w:rPr>
          <w:rFonts w:ascii="Times New Roman" w:hAnsi="Times New Roman" w:eastAsia="宋体" w:cs="Times New Roman"/>
          <w:bCs/>
          <w:sz w:val="28"/>
          <w:szCs w:val="28"/>
        </w:rPr>
        <w:t>进行</w:t>
      </w:r>
      <w:r>
        <w:rPr>
          <w:rFonts w:hint="eastAsia" w:ascii="Times New Roman" w:hAnsi="Times New Roman" w:eastAsia="宋体" w:cs="Times New Roman"/>
          <w:bCs/>
          <w:sz w:val="28"/>
          <w:szCs w:val="28"/>
        </w:rPr>
        <w:t>汇</w:t>
      </w:r>
      <w:r>
        <w:rPr>
          <w:rFonts w:ascii="Times New Roman" w:hAnsi="Times New Roman" w:eastAsia="宋体" w:cs="Times New Roman"/>
          <w:bCs/>
          <w:sz w:val="28"/>
          <w:szCs w:val="28"/>
        </w:rPr>
        <w:t>总统计</w:t>
      </w:r>
      <w:r>
        <w:rPr>
          <w:rFonts w:hint="eastAsia" w:ascii="Times New Roman" w:hAnsi="Times New Roman" w:eastAsia="宋体" w:cs="Times New Roman"/>
          <w:bCs/>
          <w:sz w:val="28"/>
          <w:szCs w:val="28"/>
        </w:rPr>
        <w:t>分</w:t>
      </w:r>
      <w:r>
        <w:rPr>
          <w:rFonts w:ascii="Times New Roman" w:hAnsi="Times New Roman" w:eastAsia="宋体" w:cs="Times New Roman"/>
          <w:bCs/>
          <w:sz w:val="28"/>
          <w:szCs w:val="28"/>
        </w:rPr>
        <w:t>析</w:t>
      </w:r>
      <w:r>
        <w:rPr>
          <w:rFonts w:hint="eastAsia" w:ascii="Times New Roman" w:hAnsi="Times New Roman" w:eastAsia="宋体" w:cs="Times New Roman"/>
          <w:bCs/>
          <w:sz w:val="28"/>
          <w:szCs w:val="28"/>
        </w:rPr>
        <w:t>对</w:t>
      </w:r>
      <w:r>
        <w:rPr>
          <w:rFonts w:ascii="Times New Roman" w:hAnsi="Times New Roman" w:eastAsia="宋体" w:cs="Times New Roman"/>
          <w:bCs/>
          <w:sz w:val="28"/>
          <w:szCs w:val="28"/>
        </w:rPr>
        <w:t>比，</w:t>
      </w:r>
      <w:r>
        <w:rPr>
          <w:rFonts w:hint="eastAsia" w:ascii="Times New Roman" w:hAnsi="Times New Roman" w:eastAsia="宋体" w:cs="Times New Roman"/>
          <w:bCs/>
          <w:sz w:val="28"/>
          <w:szCs w:val="28"/>
        </w:rPr>
        <w:t>最</w:t>
      </w:r>
      <w:r>
        <w:rPr>
          <w:rFonts w:ascii="Times New Roman" w:hAnsi="Times New Roman" w:eastAsia="宋体" w:cs="Times New Roman"/>
          <w:bCs/>
          <w:sz w:val="28"/>
          <w:szCs w:val="28"/>
        </w:rPr>
        <w:t>终</w:t>
      </w:r>
      <w:r>
        <w:rPr>
          <w:rFonts w:hint="eastAsia" w:ascii="Times New Roman" w:hAnsi="Times New Roman" w:eastAsia="宋体" w:cs="Times New Roman"/>
          <w:bCs/>
          <w:sz w:val="28"/>
          <w:szCs w:val="28"/>
        </w:rPr>
        <w:t>结</w:t>
      </w:r>
      <w:r>
        <w:rPr>
          <w:rFonts w:ascii="Times New Roman" w:hAnsi="Times New Roman" w:eastAsia="宋体" w:cs="Times New Roman"/>
          <w:bCs/>
          <w:sz w:val="28"/>
          <w:szCs w:val="28"/>
        </w:rPr>
        <w:t>合着</w:t>
      </w:r>
      <w:r>
        <w:rPr>
          <w:rFonts w:hint="eastAsia" w:ascii="Times New Roman" w:hAnsi="Times New Roman" w:eastAsia="宋体" w:cs="Times New Roman"/>
          <w:bCs/>
          <w:sz w:val="28"/>
          <w:szCs w:val="28"/>
        </w:rPr>
        <w:t>抗性级</w:t>
      </w:r>
      <w:r>
        <w:rPr>
          <w:rFonts w:ascii="Times New Roman" w:hAnsi="Times New Roman" w:eastAsia="宋体" w:cs="Times New Roman"/>
          <w:bCs/>
          <w:sz w:val="28"/>
          <w:szCs w:val="28"/>
        </w:rPr>
        <w:t>别确定</w:t>
      </w:r>
      <w:r>
        <w:rPr>
          <w:rFonts w:hint="eastAsia" w:ascii="Times New Roman" w:hAnsi="Times New Roman" w:eastAsia="宋体" w:cs="Times New Roman"/>
          <w:bCs/>
          <w:sz w:val="28"/>
          <w:szCs w:val="28"/>
        </w:rPr>
        <w:t>验证</w:t>
      </w:r>
      <w:r>
        <w:rPr>
          <w:rFonts w:ascii="Times New Roman" w:hAnsi="Times New Roman" w:eastAsia="宋体" w:cs="Times New Roman"/>
          <w:bCs/>
          <w:sz w:val="28"/>
          <w:szCs w:val="28"/>
        </w:rPr>
        <w:t>的合理性</w:t>
      </w:r>
      <w:r>
        <w:rPr>
          <w:rFonts w:hint="eastAsia" w:ascii="Times New Roman" w:hAnsi="Times New Roman" w:eastAsia="宋体" w:cs="Times New Roman"/>
          <w:bCs/>
          <w:sz w:val="28"/>
          <w:szCs w:val="28"/>
        </w:rPr>
        <w:t>（</w:t>
      </w:r>
      <w:r>
        <w:rPr>
          <w:rFonts w:ascii="Times New Roman" w:hAnsi="Times New Roman" w:eastAsia="宋体" w:cs="Times New Roman"/>
          <w:bCs/>
          <w:sz w:val="28"/>
          <w:szCs w:val="28"/>
        </w:rPr>
        <w:t>见表</w:t>
      </w:r>
      <w:r>
        <w:rPr>
          <w:rFonts w:hint="eastAsia" w:ascii="Times New Roman" w:hAnsi="Times New Roman" w:eastAsia="宋体" w:cs="Times New Roman"/>
          <w:bCs/>
          <w:sz w:val="28"/>
          <w:szCs w:val="28"/>
        </w:rPr>
        <w:t>5）</w:t>
      </w:r>
      <w:r>
        <w:rPr>
          <w:rFonts w:ascii="Times New Roman" w:hAnsi="Times New Roman" w:eastAsia="宋体" w:cs="Times New Roman"/>
          <w:bCs/>
          <w:sz w:val="28"/>
          <w:szCs w:val="28"/>
        </w:rPr>
        <w:t>，</w:t>
      </w:r>
      <w:r>
        <w:rPr>
          <w:rFonts w:hint="eastAsia" w:ascii="Times New Roman" w:hAnsi="Times New Roman" w:eastAsia="宋体" w:cs="Times New Roman"/>
          <w:bCs/>
          <w:sz w:val="28"/>
          <w:szCs w:val="28"/>
        </w:rPr>
        <w:t>进</w:t>
      </w:r>
      <w:r>
        <w:rPr>
          <w:rFonts w:ascii="Times New Roman" w:hAnsi="Times New Roman" w:eastAsia="宋体" w:cs="Times New Roman"/>
          <w:bCs/>
          <w:sz w:val="28"/>
          <w:szCs w:val="28"/>
        </w:rPr>
        <w:t>一步证明了</w:t>
      </w:r>
      <w:r>
        <w:rPr>
          <w:rFonts w:hint="eastAsia" w:ascii="Times New Roman" w:hAnsi="Times New Roman" w:eastAsia="宋体" w:cs="Times New Roman"/>
          <w:bCs/>
          <w:sz w:val="28"/>
          <w:szCs w:val="28"/>
        </w:rPr>
        <w:t>袁庆华等人研究</w:t>
      </w:r>
      <w:r>
        <w:rPr>
          <w:rFonts w:ascii="Times New Roman" w:hAnsi="Times New Roman" w:eastAsia="宋体" w:cs="Times New Roman"/>
          <w:bCs/>
          <w:sz w:val="28"/>
          <w:szCs w:val="28"/>
        </w:rPr>
        <w:t>提出的</w:t>
      </w:r>
      <w:r>
        <w:rPr>
          <w:rFonts w:hint="eastAsia" w:ascii="Times New Roman" w:hAnsi="Times New Roman" w:eastAsia="宋体" w:cs="Times New Roman"/>
          <w:bCs/>
          <w:sz w:val="28"/>
          <w:szCs w:val="28"/>
        </w:rPr>
        <w:t>蓟马量比值法</w:t>
      </w:r>
      <w:r>
        <w:rPr>
          <w:rFonts w:ascii="Times New Roman" w:hAnsi="Times New Roman" w:eastAsia="宋体" w:cs="Times New Roman"/>
          <w:bCs/>
          <w:sz w:val="28"/>
          <w:szCs w:val="28"/>
        </w:rPr>
        <w:t>将</w:t>
      </w:r>
      <w:r>
        <w:rPr>
          <w:rFonts w:hint="eastAsia" w:ascii="Times New Roman" w:hAnsi="Times New Roman" w:eastAsia="宋体" w:cs="Times New Roman"/>
          <w:bCs/>
          <w:sz w:val="28"/>
          <w:szCs w:val="28"/>
        </w:rPr>
        <w:t>作</w:t>
      </w:r>
      <w:r>
        <w:rPr>
          <w:rFonts w:ascii="Times New Roman" w:hAnsi="Times New Roman" w:eastAsia="宋体" w:cs="Times New Roman"/>
          <w:bCs/>
          <w:sz w:val="28"/>
          <w:szCs w:val="28"/>
        </w:rPr>
        <w:t>为</w:t>
      </w:r>
      <w:r>
        <w:rPr>
          <w:rFonts w:hint="eastAsia" w:ascii="Times New Roman" w:hAnsi="Times New Roman" w:eastAsia="宋体" w:cs="Times New Roman"/>
          <w:bCs/>
          <w:sz w:val="28"/>
          <w:szCs w:val="28"/>
        </w:rPr>
        <w:t>蓟马抗性评价方法是</w:t>
      </w:r>
      <w:r>
        <w:rPr>
          <w:rFonts w:ascii="Times New Roman" w:hAnsi="Times New Roman" w:eastAsia="宋体" w:cs="Times New Roman"/>
          <w:bCs/>
          <w:sz w:val="28"/>
          <w:szCs w:val="28"/>
        </w:rPr>
        <w:t>比</w:t>
      </w:r>
      <w:r>
        <w:rPr>
          <w:rFonts w:hint="eastAsia" w:ascii="Times New Roman" w:hAnsi="Times New Roman" w:eastAsia="宋体" w:cs="Times New Roman"/>
          <w:bCs/>
          <w:sz w:val="28"/>
          <w:szCs w:val="28"/>
        </w:rPr>
        <w:t>较</w:t>
      </w:r>
      <w:r>
        <w:rPr>
          <w:rFonts w:ascii="Times New Roman" w:hAnsi="Times New Roman" w:eastAsia="宋体" w:cs="Times New Roman"/>
          <w:bCs/>
          <w:sz w:val="28"/>
          <w:szCs w:val="28"/>
        </w:rPr>
        <w:t>合理且</w:t>
      </w:r>
      <w:r>
        <w:rPr>
          <w:rFonts w:hint="eastAsia" w:ascii="Times New Roman" w:hAnsi="Times New Roman" w:eastAsia="宋体" w:cs="Times New Roman"/>
          <w:bCs/>
          <w:sz w:val="28"/>
          <w:szCs w:val="28"/>
        </w:rPr>
        <w:t>简</w:t>
      </w:r>
      <w:r>
        <w:rPr>
          <w:rFonts w:ascii="Times New Roman" w:hAnsi="Times New Roman" w:eastAsia="宋体" w:cs="Times New Roman"/>
          <w:bCs/>
          <w:sz w:val="28"/>
          <w:szCs w:val="28"/>
        </w:rPr>
        <w:t>单的方法，同时</w:t>
      </w:r>
      <w:r>
        <w:rPr>
          <w:rFonts w:hint="eastAsia" w:ascii="Times New Roman" w:hAnsi="Times New Roman" w:eastAsia="宋体" w:cs="Times New Roman"/>
          <w:bCs/>
          <w:sz w:val="28"/>
          <w:szCs w:val="28"/>
        </w:rPr>
        <w:t>经实践</w:t>
      </w:r>
      <w:r>
        <w:rPr>
          <w:rFonts w:ascii="Times New Roman" w:hAnsi="Times New Roman" w:eastAsia="宋体" w:cs="Times New Roman"/>
          <w:bCs/>
          <w:sz w:val="28"/>
          <w:szCs w:val="28"/>
        </w:rPr>
        <w:t>表明</w:t>
      </w:r>
      <w:r>
        <w:rPr>
          <w:rFonts w:hint="eastAsia" w:ascii="Times New Roman" w:hAnsi="Times New Roman" w:eastAsia="宋体" w:cs="Times New Roman"/>
          <w:bCs/>
          <w:sz w:val="28"/>
          <w:szCs w:val="28"/>
        </w:rPr>
        <w:t>：在计算过程中蓟马数量均换算为头/百枝条，计算结果以蓟马抗性指数表示，使</w:t>
      </w:r>
      <w:r>
        <w:rPr>
          <w:rFonts w:ascii="Times New Roman" w:hAnsi="Times New Roman" w:eastAsia="宋体" w:cs="Times New Roman"/>
          <w:bCs/>
          <w:sz w:val="28"/>
          <w:szCs w:val="28"/>
        </w:rPr>
        <w:t>得</w:t>
      </w:r>
      <w:r>
        <w:rPr>
          <w:rFonts w:hint="eastAsia" w:ascii="Times New Roman" w:hAnsi="Times New Roman" w:eastAsia="宋体" w:cs="Times New Roman"/>
          <w:bCs/>
          <w:sz w:val="28"/>
          <w:szCs w:val="28"/>
        </w:rPr>
        <w:t>计算过程更规范统一评价结果的准确性更</w:t>
      </w:r>
      <w:r>
        <w:rPr>
          <w:rFonts w:ascii="Times New Roman" w:hAnsi="Times New Roman" w:eastAsia="宋体" w:cs="Times New Roman"/>
          <w:bCs/>
          <w:sz w:val="28"/>
          <w:szCs w:val="28"/>
        </w:rPr>
        <w:t>能有保证</w:t>
      </w:r>
      <w:r>
        <w:rPr>
          <w:rFonts w:hint="eastAsia" w:ascii="Times New Roman" w:hAnsi="Times New Roman" w:eastAsia="宋体" w:cs="Times New Roman"/>
          <w:bCs/>
          <w:sz w:val="28"/>
          <w:szCs w:val="28"/>
        </w:rPr>
        <w:t>，故本</w:t>
      </w:r>
      <w:r>
        <w:rPr>
          <w:rFonts w:ascii="Times New Roman" w:hAnsi="Times New Roman" w:eastAsia="宋体" w:cs="Times New Roman"/>
          <w:bCs/>
          <w:sz w:val="28"/>
          <w:szCs w:val="28"/>
        </w:rPr>
        <w:t>标准将计算公式作了相应的调整如上面所示</w:t>
      </w:r>
      <w:r>
        <w:rPr>
          <w:rFonts w:hint="eastAsia" w:ascii="Times New Roman" w:hAnsi="Times New Roman" w:eastAsia="宋体" w:cs="Times New Roman"/>
          <w:bCs/>
          <w:sz w:val="28"/>
          <w:szCs w:val="28"/>
        </w:rPr>
        <w:t>，</w:t>
      </w:r>
      <w:r>
        <w:rPr>
          <w:rFonts w:ascii="Times New Roman" w:hAnsi="Times New Roman" w:eastAsia="宋体" w:cs="Times New Roman"/>
          <w:bCs/>
          <w:sz w:val="28"/>
          <w:szCs w:val="28"/>
        </w:rPr>
        <w:t>并将此方法命名为</w:t>
      </w:r>
      <w:r>
        <w:rPr>
          <w:rFonts w:hint="eastAsia" w:ascii="Times New Roman" w:hAnsi="Times New Roman" w:eastAsia="宋体" w:cs="Times New Roman"/>
          <w:sz w:val="28"/>
          <w:szCs w:val="28"/>
        </w:rPr>
        <w:t>蓟马抗性指数常规计算方法。</w:t>
      </w:r>
    </w:p>
    <w:p>
      <w:p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2</w:t>
      </w:r>
      <w:r>
        <w:rPr>
          <w:rFonts w:hint="eastAsia" w:ascii="Times New Roman" w:hAnsi="Times New Roman" w:eastAsia="宋体" w:cs="Times New Roman"/>
          <w:b/>
          <w:color w:val="000000" w:themeColor="text1"/>
          <w:sz w:val="28"/>
          <w:szCs w:val="28"/>
          <w14:textFill>
            <w14:solidFill>
              <w14:schemeClr w14:val="tx1"/>
            </w14:solidFill>
          </w14:textFill>
        </w:rPr>
        <w:t>）蓟马抗性指数经验估算方法</w:t>
      </w:r>
    </w:p>
    <w:p>
      <w:pPr>
        <w:spacing w:line="360" w:lineRule="auto"/>
        <w:ind w:firstLine="562" w:firstLineChars="200"/>
        <w:rPr>
          <w:rFonts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标准内容：</w:t>
      </w:r>
    </w:p>
    <w:p>
      <w:pPr>
        <w:spacing w:line="360" w:lineRule="auto"/>
        <w:ind w:firstLine="560" w:firstLineChars="200"/>
        <w:jc w:val="left"/>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按照本标准文本第8章的方法进行调查，计算待测品种每百枝条蓟马数量，再根据表</w:t>
      </w:r>
      <w:r>
        <w:rPr>
          <w:rFonts w:ascii="Times New Roman" w:hAnsi="Times New Roman" w:eastAsia="宋体" w:cs="Times New Roman"/>
          <w:bCs/>
          <w:color w:val="000000" w:themeColor="text1"/>
          <w:sz w:val="28"/>
          <w:szCs w:val="28"/>
          <w14:textFill>
            <w14:solidFill>
              <w14:schemeClr w14:val="tx1"/>
            </w14:solidFill>
          </w14:textFill>
        </w:rPr>
        <w:t>3</w:t>
      </w:r>
      <w:r>
        <w:rPr>
          <w:rFonts w:hint="eastAsia" w:ascii="Times New Roman" w:hAnsi="Times New Roman" w:eastAsia="宋体" w:cs="Times New Roman"/>
          <w:bCs/>
          <w:color w:val="000000" w:themeColor="text1"/>
          <w:sz w:val="28"/>
          <w:szCs w:val="28"/>
          <w14:textFill>
            <w14:solidFill>
              <w14:schemeClr w14:val="tx1"/>
            </w14:solidFill>
          </w14:textFill>
        </w:rPr>
        <w:t>给出的不同区域的苜蓿品种与蓟马抗性指数的相关性分析公式，估算出该品种的抗性指数。</w:t>
      </w:r>
    </w:p>
    <w:p>
      <w:pPr>
        <w:spacing w:line="360" w:lineRule="auto"/>
        <w:jc w:val="center"/>
        <w:rPr>
          <w:rFonts w:ascii="Times New Roman" w:hAnsi="Times New Roman" w:cs="Times New Roman"/>
          <w:color w:val="000000"/>
          <w:kern w:val="0"/>
          <w:szCs w:val="21"/>
          <w:vertAlign w:val="superscript"/>
        </w:rPr>
      </w:pPr>
      <w:r>
        <w:rPr>
          <w:rFonts w:hint="eastAsia" w:ascii="Times New Roman" w:hAnsi="Times New Roman" w:eastAsia="宋体" w:cs="Times New Roman"/>
          <w:b/>
          <w:color w:val="000000" w:themeColor="text1"/>
          <w:sz w:val="28"/>
          <w:szCs w:val="28"/>
          <w14:textFill>
            <w14:solidFill>
              <w14:schemeClr w14:val="tx1"/>
            </w14:solidFill>
          </w14:textFill>
        </w:rPr>
        <w:t>表</w:t>
      </w:r>
      <w:bookmarkStart w:id="87" w:name="_Hlk97042909"/>
      <w:r>
        <w:rPr>
          <w:rFonts w:ascii="Times New Roman" w:hAnsi="Times New Roman" w:eastAsia="宋体" w:cs="Times New Roman"/>
          <w:b/>
          <w:color w:val="000000" w:themeColor="text1"/>
          <w:sz w:val="28"/>
          <w:szCs w:val="28"/>
          <w14:textFill>
            <w14:solidFill>
              <w14:schemeClr w14:val="tx1"/>
            </w14:solidFill>
          </w14:textFill>
        </w:rPr>
        <w:t>3</w:t>
      </w:r>
      <w:r>
        <w:rPr>
          <w:rFonts w:hint="eastAsia" w:ascii="Times New Roman" w:hAnsi="Times New Roman" w:eastAsia="宋体" w:cs="Times New Roman"/>
          <w:b/>
          <w:color w:val="000000" w:themeColor="text1"/>
          <w:sz w:val="28"/>
          <w:szCs w:val="28"/>
          <w14:textFill>
            <w14:solidFill>
              <w14:schemeClr w14:val="tx1"/>
            </w14:solidFill>
          </w14:textFill>
        </w:rPr>
        <w:t xml:space="preserve"> 我国苜蓿主产区苜蓿主要蓟马抗性经验指数估算</w:t>
      </w:r>
      <w:bookmarkEnd w:id="87"/>
      <w:r>
        <w:rPr>
          <w:rFonts w:ascii="Times New Roman" w:hAnsi="Times New Roman" w:cs="Times New Roman"/>
          <w:color w:val="000000"/>
          <w:kern w:val="0"/>
          <w:szCs w:val="21"/>
          <w:vertAlign w:val="superscript"/>
        </w:rPr>
        <w:t>a</w:t>
      </w:r>
    </w:p>
    <w:tbl>
      <w:tblPr>
        <w:tblStyle w:val="17"/>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2"/>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3" w:type="pct"/>
          </w:tcPr>
          <w:p>
            <w:pPr>
              <w:spacing w:line="360" w:lineRule="auto"/>
              <w:jc w:val="center"/>
              <w:rPr>
                <w:rFonts w:ascii="Times New Roman" w:hAnsi="Times New Roman" w:cs="Times New Roman"/>
                <w:color w:val="000000"/>
                <w:kern w:val="0"/>
                <w:szCs w:val="21"/>
              </w:rPr>
            </w:pPr>
            <w:r>
              <w:rPr>
                <w:rFonts w:ascii="Times New Roman" w:hAnsi="Times New Roman" w:cs="Times New Roman"/>
                <w:color w:val="000000"/>
                <w:kern w:val="0"/>
                <w:szCs w:val="21"/>
              </w:rPr>
              <w:t>区域</w:t>
            </w:r>
          </w:p>
        </w:tc>
        <w:tc>
          <w:tcPr>
            <w:tcW w:w="3127" w:type="pct"/>
          </w:tcPr>
          <w:p>
            <w:pPr>
              <w:spacing w:line="360" w:lineRule="auto"/>
              <w:jc w:val="center"/>
              <w:rPr>
                <w:rFonts w:ascii="Times New Roman" w:hAnsi="Times New Roman" w:cs="Times New Roman"/>
                <w:color w:val="000000"/>
                <w:kern w:val="0"/>
                <w:szCs w:val="21"/>
              </w:rPr>
            </w:pPr>
            <w:r>
              <w:rPr>
                <w:rFonts w:ascii="Times New Roman" w:hAnsi="Times New Roman" w:cs="Times New Roman"/>
                <w:color w:val="000000"/>
                <w:kern w:val="0"/>
                <w:szCs w:val="21"/>
              </w:rPr>
              <w:t>相关性分析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3" w:type="pct"/>
          </w:tcPr>
          <w:p>
            <w:pPr>
              <w:spacing w:line="360" w:lineRule="auto"/>
              <w:jc w:val="center"/>
              <w:rPr>
                <w:rFonts w:ascii="Times New Roman" w:hAnsi="Times New Roman" w:cs="Times New Roman"/>
                <w:color w:val="000000"/>
                <w:kern w:val="0"/>
                <w:szCs w:val="21"/>
              </w:rPr>
            </w:pPr>
            <w:r>
              <w:rPr>
                <w:rFonts w:ascii="Times New Roman" w:hAnsi="Times New Roman" w:cs="Times New Roman"/>
                <w:color w:val="000000"/>
                <w:kern w:val="0"/>
                <w:szCs w:val="21"/>
              </w:rPr>
              <w:t>河北、陕西、山西</w:t>
            </w:r>
          </w:p>
        </w:tc>
        <w:tc>
          <w:tcPr>
            <w:tcW w:w="3127" w:type="pct"/>
          </w:tcPr>
          <w:p>
            <w:pPr>
              <w:spacing w:line="360" w:lineRule="auto"/>
              <w:ind w:firstLine="1497" w:firstLineChars="713"/>
              <w:rPr>
                <w:rFonts w:ascii="Times New Roman" w:hAnsi="Times New Roman" w:cs="Times New Roman"/>
                <w:color w:val="000000"/>
                <w:kern w:val="0"/>
                <w:szCs w:val="21"/>
              </w:rPr>
            </w:pPr>
            <w:r>
              <w:rPr>
                <w:rFonts w:ascii="Times New Roman" w:hAnsi="Times New Roman" w:cs="Times New Roman"/>
                <w:color w:val="000000"/>
                <w:kern w:val="0"/>
                <w:szCs w:val="21"/>
              </w:rPr>
              <w:t>P = 0.0073x - 0.0394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3" w:type="pct"/>
          </w:tcPr>
          <w:p>
            <w:pPr>
              <w:spacing w:line="360" w:lineRule="auto"/>
              <w:jc w:val="center"/>
              <w:rPr>
                <w:rFonts w:ascii="Times New Roman" w:hAnsi="Times New Roman" w:cs="Times New Roman"/>
                <w:color w:val="000000"/>
                <w:kern w:val="0"/>
                <w:szCs w:val="21"/>
              </w:rPr>
            </w:pPr>
            <w:r>
              <w:rPr>
                <w:rFonts w:ascii="Times New Roman" w:hAnsi="Times New Roman" w:cs="Times New Roman"/>
                <w:color w:val="000000"/>
                <w:kern w:val="0"/>
                <w:szCs w:val="21"/>
              </w:rPr>
              <w:t>内蒙古、辽宁、吉林、黑龙江</w:t>
            </w:r>
          </w:p>
        </w:tc>
        <w:tc>
          <w:tcPr>
            <w:tcW w:w="3127" w:type="pct"/>
            <w:vAlign w:val="center"/>
          </w:tcPr>
          <w:p>
            <w:pPr>
              <w:spacing w:line="360" w:lineRule="auto"/>
              <w:ind w:firstLine="1497" w:firstLineChars="713"/>
              <w:rPr>
                <w:rFonts w:ascii="Times New Roman" w:hAnsi="Times New Roman" w:cs="Times New Roman"/>
                <w:color w:val="000000"/>
                <w:kern w:val="0"/>
                <w:szCs w:val="21"/>
              </w:rPr>
            </w:pPr>
            <w:r>
              <w:rPr>
                <w:rFonts w:ascii="Times New Roman" w:hAnsi="Times New Roman" w:cs="Times New Roman"/>
                <w:color w:val="000000"/>
                <w:kern w:val="0"/>
                <w:szCs w:val="21"/>
              </w:rPr>
              <w:t>P = 0.0208x + 0.0128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3" w:type="pct"/>
          </w:tcPr>
          <w:p>
            <w:pPr>
              <w:spacing w:line="360" w:lineRule="auto"/>
              <w:jc w:val="center"/>
              <w:rPr>
                <w:rFonts w:ascii="Times New Roman" w:hAnsi="Times New Roman" w:cs="Times New Roman"/>
                <w:color w:val="000000"/>
                <w:kern w:val="0"/>
                <w:szCs w:val="21"/>
              </w:rPr>
            </w:pPr>
            <w:r>
              <w:rPr>
                <w:rFonts w:ascii="Times New Roman" w:hAnsi="Times New Roman" w:cs="Times New Roman"/>
                <w:color w:val="000000"/>
                <w:kern w:val="0"/>
                <w:szCs w:val="21"/>
              </w:rPr>
              <w:t>云南、广西、贵州</w:t>
            </w:r>
          </w:p>
        </w:tc>
        <w:tc>
          <w:tcPr>
            <w:tcW w:w="3127" w:type="pct"/>
            <w:vAlign w:val="center"/>
          </w:tcPr>
          <w:p>
            <w:pPr>
              <w:spacing w:line="360" w:lineRule="auto"/>
              <w:ind w:left="29" w:leftChars="14" w:firstLine="1467" w:firstLineChars="699"/>
              <w:rPr>
                <w:rFonts w:ascii="Times New Roman" w:hAnsi="Times New Roman" w:cs="Times New Roman"/>
                <w:color w:val="000000"/>
                <w:kern w:val="0"/>
                <w:szCs w:val="21"/>
              </w:rPr>
            </w:pPr>
            <w:r>
              <w:rPr>
                <w:rFonts w:ascii="Times New Roman" w:hAnsi="Times New Roman" w:cs="Times New Roman"/>
                <w:color w:val="000000"/>
                <w:kern w:val="0"/>
                <w:szCs w:val="21"/>
              </w:rPr>
              <w:t>P = 0.0182x - 0.074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3" w:type="pct"/>
          </w:tcPr>
          <w:p>
            <w:pPr>
              <w:spacing w:line="360" w:lineRule="auto"/>
              <w:jc w:val="center"/>
              <w:rPr>
                <w:rFonts w:ascii="Times New Roman" w:hAnsi="Times New Roman" w:cs="Times New Roman"/>
                <w:color w:val="000000"/>
                <w:kern w:val="0"/>
                <w:szCs w:val="21"/>
              </w:rPr>
            </w:pPr>
            <w:r>
              <w:rPr>
                <w:rFonts w:ascii="Times New Roman" w:hAnsi="Times New Roman" w:cs="Times New Roman"/>
                <w:color w:val="000000"/>
                <w:kern w:val="0"/>
                <w:szCs w:val="21"/>
              </w:rPr>
              <w:t>宁夏、甘肃</w:t>
            </w:r>
          </w:p>
        </w:tc>
        <w:tc>
          <w:tcPr>
            <w:tcW w:w="3127" w:type="pct"/>
            <w:vAlign w:val="center"/>
          </w:tcPr>
          <w:p>
            <w:pPr>
              <w:spacing w:line="360" w:lineRule="auto"/>
              <w:ind w:firstLine="1497" w:firstLineChars="713"/>
              <w:rPr>
                <w:rFonts w:ascii="Times New Roman" w:hAnsi="Times New Roman" w:cs="Times New Roman"/>
                <w:color w:val="000000"/>
                <w:kern w:val="0"/>
                <w:szCs w:val="21"/>
              </w:rPr>
            </w:pPr>
            <w:r>
              <w:rPr>
                <w:rFonts w:ascii="Times New Roman" w:hAnsi="Times New Roman" w:cs="Times New Roman"/>
                <w:color w:val="000000"/>
                <w:kern w:val="0"/>
                <w:szCs w:val="21"/>
              </w:rPr>
              <w:t>P = 0.0129x + 0.0058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73" w:type="pct"/>
          </w:tcPr>
          <w:p>
            <w:pPr>
              <w:spacing w:line="360" w:lineRule="auto"/>
              <w:jc w:val="center"/>
              <w:rPr>
                <w:rFonts w:ascii="Times New Roman" w:hAnsi="Times New Roman" w:cs="Times New Roman"/>
                <w:color w:val="000000"/>
                <w:kern w:val="0"/>
                <w:szCs w:val="21"/>
              </w:rPr>
            </w:pPr>
            <w:r>
              <w:rPr>
                <w:rFonts w:ascii="Times New Roman" w:hAnsi="Times New Roman" w:cs="Times New Roman"/>
                <w:color w:val="000000"/>
                <w:kern w:val="0"/>
                <w:szCs w:val="21"/>
              </w:rPr>
              <w:t>新疆</w:t>
            </w:r>
          </w:p>
        </w:tc>
        <w:tc>
          <w:tcPr>
            <w:tcW w:w="3127" w:type="pct"/>
            <w:vAlign w:val="center"/>
          </w:tcPr>
          <w:p>
            <w:pPr>
              <w:spacing w:line="360" w:lineRule="auto"/>
              <w:ind w:firstLine="1497" w:firstLineChars="713"/>
              <w:rPr>
                <w:rFonts w:ascii="Times New Roman" w:hAnsi="Times New Roman" w:cs="Times New Roman"/>
                <w:color w:val="000000"/>
                <w:kern w:val="0"/>
                <w:szCs w:val="21"/>
              </w:rPr>
            </w:pPr>
            <w:r>
              <w:rPr>
                <w:rFonts w:ascii="Times New Roman" w:hAnsi="Times New Roman" w:cs="Times New Roman"/>
                <w:color w:val="000000"/>
                <w:kern w:val="0"/>
                <w:szCs w:val="21"/>
              </w:rPr>
              <w:t>P = 0.0042x - 0.0001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Pr>
          <w:p>
            <w:pPr>
              <w:spacing w:line="360" w:lineRule="auto"/>
              <w:jc w:val="left"/>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Cs/>
                <w:color w:val="000000" w:themeColor="text1"/>
                <w:sz w:val="28"/>
                <w:szCs w:val="28"/>
                <w14:textFill>
                  <w14:solidFill>
                    <w14:schemeClr w14:val="tx1"/>
                  </w14:solidFill>
                </w14:textFill>
              </w:rPr>
              <w:t>注</w:t>
            </w:r>
            <w:r>
              <w:rPr>
                <w:rFonts w:hint="eastAsia" w:ascii="Times New Roman" w:hAnsi="Times New Roman" w:eastAsia="宋体" w:cs="Times New Roman"/>
                <w:bCs/>
                <w:color w:val="000000" w:themeColor="text1"/>
                <w:sz w:val="28"/>
                <w:szCs w:val="28"/>
                <w14:textFill>
                  <w14:solidFill>
                    <w14:schemeClr w14:val="tx1"/>
                  </w14:solidFill>
                </w14:textFill>
              </w:rPr>
              <w:t>1</w:t>
            </w:r>
            <w:r>
              <w:rPr>
                <w:rFonts w:ascii="Times New Roman" w:hAnsi="Times New Roman" w:eastAsia="宋体" w:cs="Times New Roman"/>
                <w:bCs/>
                <w:color w:val="000000" w:themeColor="text1"/>
                <w:sz w:val="28"/>
                <w:szCs w:val="28"/>
                <w14:textFill>
                  <w14:solidFill>
                    <w14:schemeClr w14:val="tx1"/>
                  </w14:solidFill>
                </w14:textFill>
              </w:rPr>
              <w:t>：x表示待测品种每百枝条蓟马数量。</w:t>
            </w:r>
          </w:p>
          <w:p>
            <w:pPr>
              <w:spacing w:line="360" w:lineRule="auto"/>
              <w:jc w:val="left"/>
              <w:rPr>
                <w:rFonts w:ascii="Times New Roman" w:hAnsi="Times New Roman" w:cs="Times New Roman"/>
                <w:color w:val="000000"/>
                <w:kern w:val="0"/>
                <w:szCs w:val="21"/>
              </w:rPr>
            </w:pPr>
            <w:r>
              <w:rPr>
                <w:rFonts w:ascii="Times New Roman" w:hAnsi="Times New Roman" w:eastAsia="宋体" w:cs="Times New Roman"/>
                <w:bCs/>
                <w:color w:val="000000" w:themeColor="text1"/>
                <w:sz w:val="28"/>
                <w:szCs w:val="28"/>
                <w14:textFill>
                  <w14:solidFill>
                    <w14:schemeClr w14:val="tx1"/>
                  </w14:solidFill>
                </w14:textFill>
              </w:rPr>
              <w:t>注2：P表示蓟马抗性指数的估算数。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2"/>
          </w:tcPr>
          <w:p>
            <w:pPr>
              <w:spacing w:line="360" w:lineRule="auto"/>
              <w:ind w:firstLine="560" w:firstLineChars="200"/>
              <w:jc w:val="left"/>
              <w:rPr>
                <w:rFonts w:ascii="Times New Roman" w:hAnsi="Times New Roman" w:cs="Times New Roman"/>
                <w:color w:val="000000"/>
                <w:kern w:val="0"/>
                <w:szCs w:val="21"/>
              </w:rPr>
            </w:pPr>
            <w:r>
              <w:rPr>
                <w:rFonts w:ascii="Times New Roman" w:hAnsi="Times New Roman" w:eastAsia="宋体" w:cs="Times New Roman"/>
                <w:bCs/>
                <w:color w:val="000000" w:themeColor="text1"/>
                <w:sz w:val="28"/>
                <w:szCs w:val="28"/>
                <w:vertAlign w:val="superscript"/>
                <w14:textFill>
                  <w14:solidFill>
                    <w14:schemeClr w14:val="tx1"/>
                  </w14:solidFill>
                </w14:textFill>
              </w:rPr>
              <w:t>a</w:t>
            </w:r>
            <w:r>
              <w:rPr>
                <w:rFonts w:ascii="Times New Roman" w:hAnsi="Times New Roman" w:eastAsia="宋体" w:cs="Times New Roman"/>
                <w:bCs/>
                <w:color w:val="000000" w:themeColor="text1"/>
                <w:sz w:val="28"/>
                <w:szCs w:val="28"/>
                <w14:textFill>
                  <w14:solidFill>
                    <w14:schemeClr w14:val="tx1"/>
                  </w14:solidFill>
                </w14:textFill>
              </w:rPr>
              <w:t>表</w:t>
            </w:r>
            <w:r>
              <w:rPr>
                <w:rFonts w:hint="eastAsia" w:ascii="Times New Roman" w:hAnsi="Times New Roman" w:eastAsia="宋体" w:cs="Times New Roman"/>
                <w:bCs/>
                <w:color w:val="000000" w:themeColor="text1"/>
                <w:sz w:val="28"/>
                <w:szCs w:val="28"/>
                <w14:textFill>
                  <w14:solidFill>
                    <w14:schemeClr w14:val="tx1"/>
                  </w14:solidFill>
                </w14:textFill>
              </w:rPr>
              <w:t>中</w:t>
            </w:r>
            <w:r>
              <w:rPr>
                <w:rFonts w:ascii="Times New Roman" w:hAnsi="Times New Roman" w:eastAsia="宋体" w:cs="Times New Roman"/>
                <w:bCs/>
                <w:color w:val="000000" w:themeColor="text1"/>
                <w:sz w:val="28"/>
                <w:szCs w:val="28"/>
                <w14:textFill>
                  <w14:solidFill>
                    <w14:schemeClr w14:val="tx1"/>
                  </w14:solidFill>
                </w14:textFill>
              </w:rPr>
              <w:t>给</w:t>
            </w:r>
            <w:r>
              <w:rPr>
                <w:rFonts w:hint="eastAsia" w:ascii="Times New Roman" w:hAnsi="Times New Roman" w:eastAsia="宋体" w:cs="Times New Roman"/>
                <w:bCs/>
                <w:color w:val="000000" w:themeColor="text1"/>
                <w:sz w:val="28"/>
                <w:szCs w:val="28"/>
                <w14:textFill>
                  <w14:solidFill>
                    <w14:schemeClr w14:val="tx1"/>
                  </w14:solidFill>
                </w14:textFill>
              </w:rPr>
              <w:t>出的是</w:t>
            </w:r>
            <w:r>
              <w:rPr>
                <w:rFonts w:ascii="Times New Roman" w:hAnsi="Times New Roman" w:eastAsia="宋体" w:cs="Times New Roman"/>
                <w:bCs/>
                <w:color w:val="000000" w:themeColor="text1"/>
                <w:sz w:val="28"/>
                <w:szCs w:val="28"/>
                <w14:textFill>
                  <w14:solidFill>
                    <w14:schemeClr w14:val="tx1"/>
                  </w14:solidFill>
                </w14:textFill>
              </w:rPr>
              <w:t>现阶段我国不</w:t>
            </w:r>
            <w:r>
              <w:rPr>
                <w:rFonts w:hint="eastAsia" w:ascii="Times New Roman" w:hAnsi="Times New Roman" w:eastAsia="宋体" w:cs="Times New Roman"/>
                <w:bCs/>
                <w:color w:val="000000" w:themeColor="text1"/>
                <w:sz w:val="28"/>
                <w:szCs w:val="28"/>
                <w14:textFill>
                  <w14:solidFill>
                    <w14:schemeClr w14:val="tx1"/>
                  </w14:solidFill>
                </w14:textFill>
              </w:rPr>
              <w:t>同</w:t>
            </w:r>
            <w:r>
              <w:rPr>
                <w:rFonts w:ascii="Times New Roman" w:hAnsi="Times New Roman" w:eastAsia="宋体" w:cs="Times New Roman"/>
                <w:bCs/>
                <w:color w:val="000000" w:themeColor="text1"/>
                <w:sz w:val="28"/>
                <w:szCs w:val="28"/>
                <w14:textFill>
                  <w14:solidFill>
                    <w14:schemeClr w14:val="tx1"/>
                  </w14:solidFill>
                </w14:textFill>
              </w:rPr>
              <w:t>苜蓿主要种植区的蓟马抗性经验指数与待测苜蓿</w:t>
            </w:r>
            <w:r>
              <w:rPr>
                <w:rFonts w:hint="eastAsia" w:ascii="Times New Roman" w:hAnsi="Times New Roman" w:eastAsia="宋体" w:cs="Times New Roman"/>
                <w:bCs/>
                <w:color w:val="000000" w:themeColor="text1"/>
                <w:sz w:val="28"/>
                <w:szCs w:val="28"/>
                <w14:textFill>
                  <w14:solidFill>
                    <w14:schemeClr w14:val="tx1"/>
                  </w14:solidFill>
                </w14:textFill>
              </w:rPr>
              <w:t>品种</w:t>
            </w:r>
            <w:r>
              <w:rPr>
                <w:rFonts w:ascii="Times New Roman" w:hAnsi="Times New Roman" w:eastAsia="宋体" w:cs="Times New Roman"/>
                <w:bCs/>
                <w:color w:val="000000" w:themeColor="text1"/>
                <w:sz w:val="28"/>
                <w:szCs w:val="28"/>
                <w14:textFill>
                  <w14:solidFill>
                    <w14:schemeClr w14:val="tx1"/>
                  </w14:solidFill>
                </w14:textFill>
              </w:rPr>
              <w:t>每百枝条蓟马数量之</w:t>
            </w:r>
            <w:r>
              <w:rPr>
                <w:rFonts w:hint="eastAsia" w:ascii="Times New Roman" w:hAnsi="Times New Roman" w:eastAsia="宋体" w:cs="Times New Roman"/>
                <w:bCs/>
                <w:color w:val="000000" w:themeColor="text1"/>
                <w:sz w:val="28"/>
                <w:szCs w:val="28"/>
                <w14:textFill>
                  <w14:solidFill>
                    <w14:schemeClr w14:val="tx1"/>
                  </w14:solidFill>
                </w14:textFill>
              </w:rPr>
              <w:t>间的相关性分析</w:t>
            </w:r>
            <w:r>
              <w:rPr>
                <w:rFonts w:ascii="Times New Roman" w:hAnsi="Times New Roman" w:eastAsia="宋体" w:cs="Times New Roman"/>
                <w:bCs/>
                <w:color w:val="000000" w:themeColor="text1"/>
                <w:sz w:val="28"/>
                <w:szCs w:val="28"/>
                <w14:textFill>
                  <w14:solidFill>
                    <w14:schemeClr w14:val="tx1"/>
                  </w14:solidFill>
                </w14:textFill>
              </w:rPr>
              <w:t>公</w:t>
            </w:r>
            <w:r>
              <w:rPr>
                <w:rFonts w:hint="eastAsia" w:ascii="Times New Roman" w:hAnsi="Times New Roman" w:eastAsia="宋体" w:cs="Times New Roman"/>
                <w:bCs/>
                <w:color w:val="000000" w:themeColor="text1"/>
                <w:sz w:val="28"/>
                <w:szCs w:val="28"/>
                <w14:textFill>
                  <w14:solidFill>
                    <w14:schemeClr w14:val="tx1"/>
                  </w14:solidFill>
                </w14:textFill>
              </w:rPr>
              <w:t>式</w:t>
            </w:r>
            <w:r>
              <w:rPr>
                <w:rFonts w:ascii="Times New Roman" w:hAnsi="Times New Roman" w:eastAsia="宋体" w:cs="Times New Roman"/>
                <w:bCs/>
                <w:color w:val="000000" w:themeColor="text1"/>
                <w:sz w:val="28"/>
                <w:szCs w:val="28"/>
                <w14:textFill>
                  <w14:solidFill>
                    <w14:schemeClr w14:val="tx1"/>
                  </w14:solidFill>
                </w14:textFill>
              </w:rPr>
              <w:t>，可</w:t>
            </w:r>
            <w:r>
              <w:rPr>
                <w:rFonts w:hint="eastAsia" w:ascii="Times New Roman" w:hAnsi="Times New Roman" w:eastAsia="宋体" w:cs="Times New Roman"/>
                <w:bCs/>
                <w:color w:val="000000" w:themeColor="text1"/>
                <w:sz w:val="28"/>
                <w:szCs w:val="28"/>
                <w14:textFill>
                  <w14:solidFill>
                    <w14:schemeClr w14:val="tx1"/>
                  </w14:solidFill>
                </w14:textFill>
              </w:rPr>
              <w:t>用于本区域内</w:t>
            </w:r>
            <w:r>
              <w:rPr>
                <w:rFonts w:ascii="Times New Roman" w:hAnsi="Times New Roman" w:eastAsia="宋体" w:cs="Times New Roman"/>
                <w:bCs/>
                <w:color w:val="000000" w:themeColor="text1"/>
                <w:sz w:val="28"/>
                <w:szCs w:val="28"/>
                <w14:textFill>
                  <w14:solidFill>
                    <w14:schemeClr w14:val="tx1"/>
                  </w14:solidFill>
                </w14:textFill>
              </w:rPr>
              <w:t>蓟马抗性经验指数估算；对于其他区域，评价时需按照常规计算方法进行计算。</w:t>
            </w:r>
          </w:p>
        </w:tc>
      </w:tr>
    </w:tbl>
    <w:p>
      <w:pPr>
        <w:spacing w:line="360" w:lineRule="auto"/>
        <w:ind w:firstLine="560" w:firstLineChars="200"/>
        <w:jc w:val="left"/>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注:</w:t>
      </w:r>
      <w:r>
        <w:rPr>
          <w:rFonts w:ascii="Times New Roman" w:hAnsi="Times New Roman" w:eastAsia="宋体" w:cs="Times New Roman"/>
          <w:bCs/>
          <w:color w:val="000000" w:themeColor="text1"/>
          <w:sz w:val="28"/>
          <w:szCs w:val="28"/>
          <w14:textFill>
            <w14:solidFill>
              <w14:schemeClr w14:val="tx1"/>
            </w14:solidFill>
          </w14:textFill>
        </w:rPr>
        <w:t>在已经开展了苜蓿品种抗性级别鉴定的区域</w:t>
      </w:r>
      <w:r>
        <w:rPr>
          <w:rFonts w:hint="eastAsia" w:ascii="Times New Roman" w:hAnsi="Times New Roman" w:eastAsia="宋体" w:cs="Times New Roman"/>
          <w:bCs/>
          <w:color w:val="000000" w:themeColor="text1"/>
          <w:sz w:val="28"/>
          <w:szCs w:val="28"/>
          <w14:textFill>
            <w14:solidFill>
              <w14:schemeClr w14:val="tx1"/>
            </w14:solidFill>
          </w14:textFill>
        </w:rPr>
        <w:t>内</w:t>
      </w:r>
      <w:r>
        <w:rPr>
          <w:rFonts w:ascii="Times New Roman" w:hAnsi="Times New Roman" w:eastAsia="宋体" w:cs="Times New Roman"/>
          <w:bCs/>
          <w:color w:val="000000" w:themeColor="text1"/>
          <w:sz w:val="28"/>
          <w:szCs w:val="28"/>
          <w14:textFill>
            <w14:solidFill>
              <w14:schemeClr w14:val="tx1"/>
            </w14:solidFill>
          </w14:textFill>
        </w:rPr>
        <w:t>，仅有其他1个或少数几个苜蓿品种需要确定抗性级别时所采用蓟马抗性指数经验估算方法。</w:t>
      </w:r>
    </w:p>
    <w:p>
      <w:pPr>
        <w:spacing w:line="360" w:lineRule="auto"/>
        <w:ind w:firstLine="562"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理由及依据：</w:t>
      </w:r>
      <w:r>
        <w:rPr>
          <w:rFonts w:hint="eastAsia" w:ascii="Times New Roman" w:hAnsi="Times New Roman" w:eastAsia="宋体" w:cs="Times New Roman"/>
          <w:bCs/>
          <w:color w:val="000000" w:themeColor="text1"/>
          <w:sz w:val="28"/>
          <w:szCs w:val="28"/>
          <w14:textFill>
            <w14:solidFill>
              <w14:schemeClr w14:val="tx1"/>
            </w14:solidFill>
          </w14:textFill>
        </w:rPr>
        <w:t>蓟马抗性指数常规计算方法适用于评价区域内多个苜蓿品种的抗性评价。但是针对区域内某单一品种或少量的抗性评价，采用常规计算方法评价结果会产生误差。经验估算方法为评价单一或少量苜蓿品种主要蓟马抗性提供了依据，解决了评价单一或少量苜蓿品种开展抗性评价时，需要重新开展所有品种蓟马抗性评价的难题。</w:t>
      </w:r>
    </w:p>
    <w:p>
      <w:pPr>
        <w:spacing w:line="360" w:lineRule="auto"/>
        <w:ind w:firstLine="560" w:firstLineChars="200"/>
        <w:rPr>
          <w:rFonts w:ascii="Times New Roman" w:hAnsi="Times New Roman" w:eastAsia="宋体" w:cs="Times New Roman"/>
          <w:bCs/>
          <w:sz w:val="28"/>
          <w:szCs w:val="28"/>
        </w:rPr>
      </w:pPr>
      <w:r>
        <w:rPr>
          <w:rFonts w:hint="eastAsia" w:ascii="Times New Roman" w:hAnsi="Times New Roman" w:eastAsia="宋体" w:cs="Times New Roman"/>
          <w:bCs/>
          <w:sz w:val="28"/>
          <w:szCs w:val="28"/>
        </w:rPr>
        <w:t>首先，对不同地区苜蓿品种百枝条蓟马发生量及蓟马抗性指数进行相关性分析，发现不同地区的蓟马发生量及蓟马抗性指数均呈正相关，相关性系数（R</w:t>
      </w:r>
      <w:r>
        <w:rPr>
          <w:rFonts w:ascii="Times New Roman" w:hAnsi="Times New Roman" w:eastAsia="宋体" w:cs="Times New Roman"/>
          <w:bCs/>
          <w:sz w:val="28"/>
          <w:szCs w:val="28"/>
          <w:vertAlign w:val="superscript"/>
        </w:rPr>
        <w:t>2</w:t>
      </w:r>
      <w:r>
        <w:rPr>
          <w:rFonts w:hint="eastAsia" w:ascii="Times New Roman" w:hAnsi="Times New Roman" w:eastAsia="宋体" w:cs="Times New Roman"/>
          <w:bCs/>
          <w:sz w:val="28"/>
          <w:szCs w:val="28"/>
        </w:rPr>
        <w:t>）均高于90%，各区域苜蓿品种百枝条蓟马发生量及蓟马抗性指数相关性如图</w:t>
      </w:r>
      <w:r>
        <w:rPr>
          <w:rFonts w:ascii="Times New Roman" w:hAnsi="Times New Roman" w:eastAsia="宋体" w:cs="Times New Roman"/>
          <w:bCs/>
          <w:sz w:val="28"/>
          <w:szCs w:val="28"/>
        </w:rPr>
        <w:t>2</w:t>
      </w:r>
      <w:r>
        <w:rPr>
          <w:rFonts w:hint="eastAsia" w:ascii="Times New Roman" w:hAnsi="Times New Roman" w:eastAsia="宋体" w:cs="Times New Roman"/>
          <w:bCs/>
          <w:sz w:val="28"/>
          <w:szCs w:val="28"/>
        </w:rPr>
        <w:t>、3、4、5和</w:t>
      </w:r>
      <w:r>
        <w:rPr>
          <w:rFonts w:ascii="Times New Roman" w:hAnsi="Times New Roman" w:eastAsia="宋体" w:cs="Times New Roman"/>
          <w:bCs/>
          <w:sz w:val="28"/>
          <w:szCs w:val="28"/>
        </w:rPr>
        <w:t>6</w:t>
      </w:r>
      <w:r>
        <w:rPr>
          <w:rFonts w:hint="eastAsia" w:ascii="Times New Roman" w:hAnsi="Times New Roman" w:eastAsia="宋体" w:cs="Times New Roman"/>
          <w:bCs/>
          <w:sz w:val="28"/>
          <w:szCs w:val="28"/>
        </w:rPr>
        <w:t>。</w:t>
      </w:r>
    </w:p>
    <w:p>
      <w:pPr>
        <w:spacing w:line="360" w:lineRule="auto"/>
        <w:ind w:firstLine="420" w:firstLineChars="200"/>
        <w:jc w:val="center"/>
        <w:rPr>
          <w:rFonts w:ascii="Times New Roman" w:hAnsi="Times New Roman" w:eastAsia="宋体" w:cs="Times New Roman"/>
          <w:bCs/>
          <w:sz w:val="32"/>
          <w:szCs w:val="32"/>
        </w:rPr>
      </w:pPr>
      <w:r>
        <w:rPr>
          <w:rFonts w:ascii="Times New Roman" w:hAnsi="Times New Roman" w:cs="Times New Roman"/>
        </w:rPr>
        <w:drawing>
          <wp:inline distT="0" distB="0" distL="0" distR="0">
            <wp:extent cx="4202430" cy="2838450"/>
            <wp:effectExtent l="0" t="0" r="762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360" w:lineRule="auto"/>
        <w:ind w:firstLine="560" w:firstLineChars="200"/>
        <w:jc w:val="center"/>
        <w:rPr>
          <w:rFonts w:ascii="Times New Roman" w:hAnsi="Times New Roman" w:eastAsia="宋体" w:cs="Times New Roman"/>
          <w:bCs/>
          <w:sz w:val="28"/>
          <w:szCs w:val="28"/>
        </w:rPr>
      </w:pPr>
      <w:r>
        <w:rPr>
          <w:rFonts w:hint="eastAsia" w:ascii="Times New Roman" w:hAnsi="Times New Roman" w:eastAsia="宋体" w:cs="Times New Roman"/>
          <w:bCs/>
          <w:sz w:val="28"/>
          <w:szCs w:val="28"/>
        </w:rPr>
        <w:t>图</w:t>
      </w:r>
      <w:r>
        <w:rPr>
          <w:rFonts w:ascii="Times New Roman" w:hAnsi="Times New Roman" w:eastAsia="宋体" w:cs="Times New Roman"/>
          <w:bCs/>
          <w:sz w:val="28"/>
          <w:szCs w:val="28"/>
        </w:rPr>
        <w:t xml:space="preserve">2 </w:t>
      </w:r>
      <w:r>
        <w:rPr>
          <w:rFonts w:hint="eastAsia" w:ascii="Times New Roman" w:hAnsi="Times New Roman" w:eastAsia="宋体" w:cs="Times New Roman"/>
          <w:bCs/>
          <w:sz w:val="28"/>
          <w:szCs w:val="28"/>
        </w:rPr>
        <w:t>河北苜蓿种植区蓟马发生量与蓟马抗性指数相关性</w:t>
      </w:r>
    </w:p>
    <w:p>
      <w:pPr>
        <w:spacing w:line="360" w:lineRule="auto"/>
        <w:ind w:firstLine="420" w:firstLineChars="200"/>
        <w:jc w:val="center"/>
        <w:rPr>
          <w:rFonts w:ascii="Times New Roman" w:hAnsi="Times New Roman" w:eastAsia="宋体" w:cs="Times New Roman"/>
          <w:bCs/>
          <w:sz w:val="32"/>
          <w:szCs w:val="32"/>
        </w:rPr>
      </w:pPr>
      <w:r>
        <w:rPr>
          <w:rFonts w:ascii="Times New Roman" w:hAnsi="Times New Roman" w:cs="Times New Roman"/>
        </w:rPr>
        <w:drawing>
          <wp:inline distT="0" distB="0" distL="0" distR="0">
            <wp:extent cx="4216400" cy="2838450"/>
            <wp:effectExtent l="0" t="0" r="1270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360" w:lineRule="auto"/>
        <w:ind w:firstLine="560" w:firstLineChars="200"/>
        <w:jc w:val="center"/>
        <w:rPr>
          <w:rFonts w:ascii="Times New Roman" w:hAnsi="Times New Roman" w:eastAsia="宋体" w:cs="Times New Roman"/>
          <w:bCs/>
          <w:sz w:val="28"/>
          <w:szCs w:val="28"/>
        </w:rPr>
      </w:pPr>
      <w:r>
        <w:rPr>
          <w:rFonts w:hint="eastAsia" w:ascii="Times New Roman" w:hAnsi="Times New Roman" w:eastAsia="宋体" w:cs="Times New Roman"/>
          <w:bCs/>
          <w:sz w:val="28"/>
          <w:szCs w:val="28"/>
        </w:rPr>
        <w:t>图</w:t>
      </w:r>
      <w:r>
        <w:rPr>
          <w:rFonts w:ascii="Times New Roman" w:hAnsi="Times New Roman" w:eastAsia="宋体" w:cs="Times New Roman"/>
          <w:bCs/>
          <w:sz w:val="28"/>
          <w:szCs w:val="28"/>
        </w:rPr>
        <w:t xml:space="preserve">3 </w:t>
      </w:r>
      <w:r>
        <w:rPr>
          <w:rFonts w:hint="eastAsia" w:ascii="Times New Roman" w:hAnsi="Times New Roman" w:eastAsia="宋体" w:cs="Times New Roman"/>
          <w:bCs/>
          <w:sz w:val="28"/>
          <w:szCs w:val="28"/>
        </w:rPr>
        <w:t>内蒙古苜蓿种植区蓟马发生量与蓟马抗性指数相关性</w:t>
      </w:r>
    </w:p>
    <w:p>
      <w:pPr>
        <w:spacing w:line="360" w:lineRule="auto"/>
        <w:ind w:firstLine="420" w:firstLineChars="200"/>
        <w:jc w:val="center"/>
        <w:rPr>
          <w:rFonts w:ascii="Times New Roman" w:hAnsi="Times New Roman" w:eastAsia="宋体" w:cs="Times New Roman"/>
          <w:bCs/>
          <w:sz w:val="32"/>
          <w:szCs w:val="32"/>
        </w:rPr>
      </w:pPr>
      <w:r>
        <w:rPr>
          <w:rFonts w:ascii="Times New Roman" w:hAnsi="Times New Roman" w:cs="Times New Roman"/>
        </w:rPr>
        <w:drawing>
          <wp:inline distT="0" distB="0" distL="0" distR="0">
            <wp:extent cx="4572000" cy="2743200"/>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360" w:lineRule="auto"/>
        <w:ind w:firstLine="560" w:firstLineChars="200"/>
        <w:jc w:val="center"/>
        <w:rPr>
          <w:rFonts w:ascii="Times New Roman" w:hAnsi="Times New Roman" w:eastAsia="宋体" w:cs="Times New Roman"/>
          <w:bCs/>
          <w:sz w:val="28"/>
          <w:szCs w:val="28"/>
        </w:rPr>
      </w:pPr>
      <w:r>
        <w:rPr>
          <w:rFonts w:hint="eastAsia" w:ascii="Times New Roman" w:hAnsi="Times New Roman" w:eastAsia="宋体" w:cs="Times New Roman"/>
          <w:bCs/>
          <w:sz w:val="28"/>
          <w:szCs w:val="28"/>
        </w:rPr>
        <w:t>图</w:t>
      </w:r>
      <w:r>
        <w:rPr>
          <w:rFonts w:ascii="Times New Roman" w:hAnsi="Times New Roman" w:eastAsia="宋体" w:cs="Times New Roman"/>
          <w:bCs/>
          <w:sz w:val="28"/>
          <w:szCs w:val="28"/>
        </w:rPr>
        <w:t xml:space="preserve">4 </w:t>
      </w:r>
      <w:r>
        <w:rPr>
          <w:rFonts w:hint="eastAsia" w:ascii="Times New Roman" w:hAnsi="Times New Roman" w:eastAsia="宋体" w:cs="Times New Roman"/>
          <w:bCs/>
          <w:sz w:val="28"/>
          <w:szCs w:val="28"/>
        </w:rPr>
        <w:t>云南苜蓿种植区蓟马发生量与蓟马抗性指数相关性</w:t>
      </w:r>
    </w:p>
    <w:p>
      <w:pPr>
        <w:spacing w:line="360" w:lineRule="auto"/>
        <w:ind w:firstLine="420" w:firstLineChars="200"/>
        <w:jc w:val="center"/>
        <w:rPr>
          <w:rFonts w:ascii="Times New Roman" w:hAnsi="Times New Roman" w:eastAsia="宋体" w:cs="Times New Roman"/>
          <w:bCs/>
          <w:sz w:val="32"/>
          <w:szCs w:val="32"/>
        </w:rPr>
      </w:pPr>
      <w:r>
        <w:rPr>
          <w:rFonts w:ascii="Times New Roman" w:hAnsi="Times New Roman" w:cs="Times New Roman"/>
        </w:rPr>
        <w:drawing>
          <wp:inline distT="0" distB="0" distL="0" distR="0">
            <wp:extent cx="4564380" cy="2659380"/>
            <wp:effectExtent l="0" t="0" r="7620" b="76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360" w:lineRule="auto"/>
        <w:ind w:firstLine="560" w:firstLineChars="200"/>
        <w:jc w:val="center"/>
        <w:rPr>
          <w:rFonts w:ascii="Times New Roman" w:hAnsi="Times New Roman" w:eastAsia="宋体" w:cs="Times New Roman"/>
          <w:bCs/>
          <w:sz w:val="28"/>
          <w:szCs w:val="28"/>
        </w:rPr>
      </w:pPr>
      <w:r>
        <w:rPr>
          <w:rFonts w:hint="eastAsia" w:ascii="Times New Roman" w:hAnsi="Times New Roman" w:eastAsia="宋体" w:cs="Times New Roman"/>
          <w:bCs/>
          <w:sz w:val="28"/>
          <w:szCs w:val="28"/>
        </w:rPr>
        <w:t>图</w:t>
      </w:r>
      <w:r>
        <w:rPr>
          <w:rFonts w:ascii="Times New Roman" w:hAnsi="Times New Roman" w:eastAsia="宋体" w:cs="Times New Roman"/>
          <w:bCs/>
          <w:sz w:val="28"/>
          <w:szCs w:val="28"/>
        </w:rPr>
        <w:t xml:space="preserve">5 </w:t>
      </w:r>
      <w:r>
        <w:rPr>
          <w:rFonts w:hint="eastAsia" w:ascii="Times New Roman" w:hAnsi="Times New Roman" w:eastAsia="宋体" w:cs="Times New Roman"/>
          <w:bCs/>
          <w:sz w:val="28"/>
          <w:szCs w:val="28"/>
        </w:rPr>
        <w:t>宁夏苜蓿种植区蓟马发生量与蓟马抗性指数相关性</w:t>
      </w:r>
    </w:p>
    <w:p>
      <w:pPr>
        <w:spacing w:line="360" w:lineRule="auto"/>
        <w:ind w:firstLine="420" w:firstLineChars="200"/>
        <w:jc w:val="center"/>
        <w:rPr>
          <w:rFonts w:ascii="Times New Roman" w:hAnsi="Times New Roman" w:eastAsia="宋体" w:cs="Times New Roman"/>
          <w:bCs/>
          <w:sz w:val="32"/>
          <w:szCs w:val="32"/>
        </w:rPr>
      </w:pPr>
      <w:r>
        <w:rPr>
          <w:rFonts w:ascii="Times New Roman" w:hAnsi="Times New Roman" w:cs="Times New Roman"/>
        </w:rPr>
        <w:drawing>
          <wp:inline distT="0" distB="0" distL="0" distR="0">
            <wp:extent cx="4572000" cy="2743200"/>
            <wp:effectExtent l="0" t="0" r="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360" w:lineRule="auto"/>
        <w:ind w:firstLine="560" w:firstLineChars="200"/>
        <w:jc w:val="center"/>
        <w:rPr>
          <w:rFonts w:ascii="Times New Roman" w:hAnsi="Times New Roman" w:eastAsia="宋体" w:cs="Times New Roman"/>
          <w:bCs/>
          <w:sz w:val="28"/>
          <w:szCs w:val="28"/>
        </w:rPr>
      </w:pPr>
      <w:r>
        <w:rPr>
          <w:rFonts w:hint="eastAsia" w:ascii="Times New Roman" w:hAnsi="Times New Roman" w:eastAsia="宋体" w:cs="Times New Roman"/>
          <w:bCs/>
          <w:sz w:val="28"/>
          <w:szCs w:val="28"/>
        </w:rPr>
        <w:t>图6新疆苜蓿种植区蓟马发生量与蓟马抗性指数相关性</w:t>
      </w:r>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然后，开展单一或少量苜蓿品种蓟马抗性评价。将待测品种百枝条</w:t>
      </w:r>
      <w:r>
        <w:rPr>
          <w:rFonts w:ascii="Times New Roman" w:hAnsi="Times New Roman" w:eastAsia="宋体" w:cs="Times New Roman"/>
          <w:bCs/>
          <w:color w:val="000000" w:themeColor="text1"/>
          <w:sz w:val="28"/>
          <w:szCs w:val="28"/>
          <w14:textFill>
            <w14:solidFill>
              <w14:schemeClr w14:val="tx1"/>
            </w14:solidFill>
          </w14:textFill>
        </w:rPr>
        <w:t>蓟马数量</w:t>
      </w:r>
      <w:r>
        <w:rPr>
          <w:rFonts w:hint="eastAsia" w:ascii="Times New Roman" w:hAnsi="Times New Roman" w:eastAsia="宋体" w:cs="Times New Roman"/>
          <w:bCs/>
          <w:color w:val="000000" w:themeColor="text1"/>
          <w:sz w:val="28"/>
          <w:szCs w:val="28"/>
          <w14:textFill>
            <w14:solidFill>
              <w14:schemeClr w14:val="tx1"/>
            </w14:solidFill>
          </w14:textFill>
        </w:rPr>
        <w:t>（</w:t>
      </w:r>
      <w:r>
        <w:rPr>
          <w:rFonts w:ascii="Times New Roman" w:hAnsi="Times New Roman" w:eastAsia="宋体" w:cs="Times New Roman"/>
          <w:bCs/>
          <w:color w:val="000000" w:themeColor="text1"/>
          <w:sz w:val="28"/>
          <w:szCs w:val="28"/>
          <w14:textFill>
            <w14:solidFill>
              <w14:schemeClr w14:val="tx1"/>
            </w14:solidFill>
          </w14:textFill>
        </w:rPr>
        <w:t>x）代入等式中，计算获得该品种的抗性指数（y）</w:t>
      </w:r>
      <w:r>
        <w:rPr>
          <w:rFonts w:hint="eastAsia" w:ascii="Times New Roman" w:hAnsi="Times New Roman" w:eastAsia="宋体" w:cs="Times New Roman"/>
          <w:bCs/>
          <w:color w:val="000000" w:themeColor="text1"/>
          <w:sz w:val="28"/>
          <w:szCs w:val="28"/>
          <w14:textFill>
            <w14:solidFill>
              <w14:schemeClr w14:val="tx1"/>
            </w14:solidFill>
          </w14:textFill>
        </w:rPr>
        <w:t>。表中值</w:t>
      </w:r>
      <w:r>
        <w:rPr>
          <w:rFonts w:ascii="Times New Roman" w:hAnsi="Times New Roman" w:eastAsia="宋体" w:cs="Times New Roman"/>
          <w:bCs/>
          <w:color w:val="000000" w:themeColor="text1"/>
          <w:sz w:val="28"/>
          <w:szCs w:val="28"/>
          <w14:textFill>
            <w14:solidFill>
              <w14:schemeClr w14:val="tx1"/>
            </w14:solidFill>
          </w14:textFill>
        </w:rPr>
        <w:t>x为待测品种</w:t>
      </w:r>
      <w:r>
        <w:rPr>
          <w:rFonts w:hint="eastAsia" w:ascii="Times New Roman" w:hAnsi="Times New Roman" w:eastAsia="宋体" w:cs="Times New Roman"/>
          <w:bCs/>
          <w:color w:val="000000" w:themeColor="text1"/>
          <w:sz w:val="28"/>
          <w:szCs w:val="28"/>
          <w14:textFill>
            <w14:solidFill>
              <w14:schemeClr w14:val="tx1"/>
            </w14:solidFill>
          </w14:textFill>
        </w:rPr>
        <w:t>百枝条</w:t>
      </w:r>
      <w:r>
        <w:rPr>
          <w:rFonts w:ascii="Times New Roman" w:hAnsi="Times New Roman" w:eastAsia="宋体" w:cs="Times New Roman"/>
          <w:bCs/>
          <w:color w:val="000000" w:themeColor="text1"/>
          <w:sz w:val="28"/>
          <w:szCs w:val="28"/>
          <w14:textFill>
            <w14:solidFill>
              <w14:schemeClr w14:val="tx1"/>
            </w14:solidFill>
          </w14:textFill>
        </w:rPr>
        <w:t>蓟马数量</w:t>
      </w:r>
      <w:r>
        <w:rPr>
          <w:rFonts w:hint="eastAsia" w:ascii="Times New Roman" w:hAnsi="Times New Roman" w:eastAsia="宋体" w:cs="Times New Roman"/>
          <w:bCs/>
          <w:color w:val="000000" w:themeColor="text1"/>
          <w:sz w:val="28"/>
          <w:szCs w:val="28"/>
          <w14:textFill>
            <w14:solidFill>
              <w14:schemeClr w14:val="tx1"/>
            </w14:solidFill>
          </w14:textFill>
        </w:rPr>
        <w:t>，</w:t>
      </w:r>
      <w:r>
        <w:rPr>
          <w:rFonts w:ascii="Times New Roman" w:hAnsi="Times New Roman" w:eastAsia="宋体" w:cs="Times New Roman"/>
          <w:bCs/>
          <w:color w:val="000000" w:themeColor="text1"/>
          <w:sz w:val="28"/>
          <w:szCs w:val="28"/>
          <w14:textFill>
            <w14:solidFill>
              <w14:schemeClr w14:val="tx1"/>
            </w14:solidFill>
          </w14:textFill>
        </w:rPr>
        <w:t>P为对应的蓟马抗性指数。</w:t>
      </w:r>
      <w:r>
        <w:rPr>
          <w:rFonts w:hint="eastAsia" w:ascii="Times New Roman" w:hAnsi="Times New Roman" w:eastAsia="宋体" w:cs="Times New Roman"/>
          <w:bCs/>
          <w:color w:val="000000" w:themeColor="text1"/>
          <w:sz w:val="28"/>
          <w:szCs w:val="28"/>
          <w14:textFill>
            <w14:solidFill>
              <w14:schemeClr w14:val="tx1"/>
            </w14:solidFill>
          </w14:textFill>
        </w:rPr>
        <w:t>同时通过资料查阅及不同地区主要气候因子数据统计，将我国苜蓿主产区不同区域待测苜蓿主要蓟马抗性经验指数估算归纳如表</w:t>
      </w:r>
      <w:r>
        <w:rPr>
          <w:rFonts w:ascii="Times New Roman" w:hAnsi="Times New Roman" w:eastAsia="宋体" w:cs="Times New Roman"/>
          <w:bCs/>
          <w:color w:val="000000" w:themeColor="text1"/>
          <w:sz w:val="28"/>
          <w:szCs w:val="28"/>
          <w14:textFill>
            <w14:solidFill>
              <w14:schemeClr w14:val="tx1"/>
            </w14:solidFill>
          </w14:textFill>
        </w:rPr>
        <w:t>4</w:t>
      </w:r>
      <w:r>
        <w:rPr>
          <w:rFonts w:hint="eastAsia" w:ascii="Times New Roman" w:hAnsi="Times New Roman" w:eastAsia="宋体" w:cs="Times New Roman"/>
          <w:bCs/>
          <w:color w:val="000000" w:themeColor="text1"/>
          <w:sz w:val="28"/>
          <w:szCs w:val="28"/>
          <w14:textFill>
            <w14:solidFill>
              <w14:schemeClr w14:val="tx1"/>
            </w14:solidFill>
          </w14:textFill>
        </w:rPr>
        <w:t>。</w:t>
      </w:r>
    </w:p>
    <w:p>
      <w:pPr>
        <w:snapToGrid w:val="0"/>
        <w:spacing w:before="312" w:beforeLines="100" w:line="360" w:lineRule="auto"/>
        <w:ind w:firstLine="560" w:firstLineChars="200"/>
        <w:jc w:val="center"/>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表</w:t>
      </w:r>
      <w:r>
        <w:rPr>
          <w:rFonts w:ascii="Times New Roman" w:hAnsi="Times New Roman" w:eastAsia="宋体" w:cs="Times New Roman"/>
          <w:bCs/>
          <w:color w:val="000000" w:themeColor="text1"/>
          <w:sz w:val="28"/>
          <w:szCs w:val="28"/>
          <w14:textFill>
            <w14:solidFill>
              <w14:schemeClr w14:val="tx1"/>
            </w14:solidFill>
          </w14:textFill>
        </w:rPr>
        <w:t xml:space="preserve">4 </w:t>
      </w:r>
      <w:r>
        <w:rPr>
          <w:rFonts w:hint="eastAsia" w:ascii="Times New Roman" w:hAnsi="Times New Roman" w:eastAsia="宋体" w:cs="Times New Roman"/>
          <w:bCs/>
          <w:color w:val="000000" w:themeColor="text1"/>
          <w:sz w:val="28"/>
          <w:szCs w:val="28"/>
          <w14:textFill>
            <w14:solidFill>
              <w14:schemeClr w14:val="tx1"/>
            </w14:solidFill>
          </w14:textFill>
        </w:rPr>
        <w:t>不同区域待测苜蓿主要蓟马抗性经验指数估算</w:t>
      </w:r>
    </w:p>
    <w:tbl>
      <w:tblPr>
        <w:tblStyle w:val="1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55"/>
        <w:gridCol w:w="3057"/>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2262"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区域</w:t>
            </w:r>
          </w:p>
        </w:tc>
        <w:tc>
          <w:tcPr>
            <w:tcW w:w="1794"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相关性分析</w:t>
            </w:r>
          </w:p>
        </w:tc>
        <w:tc>
          <w:tcPr>
            <w:tcW w:w="943"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R²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2262"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河北、陕西、山西</w:t>
            </w:r>
          </w:p>
        </w:tc>
        <w:tc>
          <w:tcPr>
            <w:tcW w:w="1794"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P = 0.0073x - 0.0394</w:t>
            </w:r>
          </w:p>
        </w:tc>
        <w:tc>
          <w:tcPr>
            <w:tcW w:w="943"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0.9759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2262"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内蒙古、辽宁、吉林、黑龙江</w:t>
            </w:r>
          </w:p>
        </w:tc>
        <w:tc>
          <w:tcPr>
            <w:tcW w:w="1794"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P = 0.0208x + 0.0128</w:t>
            </w:r>
          </w:p>
        </w:tc>
        <w:tc>
          <w:tcPr>
            <w:tcW w:w="943"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0.9466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2262"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云南、广西、贵州</w:t>
            </w:r>
          </w:p>
        </w:tc>
        <w:tc>
          <w:tcPr>
            <w:tcW w:w="1794"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P = 0.0182x - 0.074</w:t>
            </w:r>
          </w:p>
        </w:tc>
        <w:tc>
          <w:tcPr>
            <w:tcW w:w="943"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0.9955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2262"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宁夏、甘肃</w:t>
            </w:r>
          </w:p>
        </w:tc>
        <w:tc>
          <w:tcPr>
            <w:tcW w:w="1794"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P = 0.0129x + 0.0058</w:t>
            </w:r>
          </w:p>
        </w:tc>
        <w:tc>
          <w:tcPr>
            <w:tcW w:w="943"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0.9994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2262"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新疆</w:t>
            </w:r>
          </w:p>
        </w:tc>
        <w:tc>
          <w:tcPr>
            <w:tcW w:w="1794"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P = 0.0042x - 0.0001</w:t>
            </w:r>
          </w:p>
        </w:tc>
        <w:tc>
          <w:tcPr>
            <w:tcW w:w="943" w:type="pct"/>
            <w:shd w:val="clear" w:color="auto" w:fill="auto"/>
          </w:tcPr>
          <w:p>
            <w:pPr>
              <w:spacing w:line="360" w:lineRule="auto"/>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0.9999</w:t>
            </w:r>
          </w:p>
        </w:tc>
      </w:tr>
    </w:tbl>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最后，</w:t>
      </w:r>
      <w:r>
        <w:rPr>
          <w:rFonts w:ascii="Times New Roman" w:hAnsi="Times New Roman" w:eastAsia="宋体" w:cs="Times New Roman"/>
          <w:bCs/>
          <w:color w:val="000000" w:themeColor="text1"/>
          <w:sz w:val="28"/>
          <w:szCs w:val="28"/>
          <w14:textFill>
            <w14:solidFill>
              <w14:schemeClr w14:val="tx1"/>
            </w14:solidFill>
          </w14:textFill>
        </w:rPr>
        <w:t>根据计算获得的抗性指数，</w:t>
      </w:r>
      <w:r>
        <w:rPr>
          <w:rFonts w:hint="eastAsia" w:ascii="Times New Roman" w:hAnsi="Times New Roman" w:eastAsia="宋体" w:cs="Times New Roman"/>
          <w:bCs/>
          <w:color w:val="000000" w:themeColor="text1"/>
          <w:sz w:val="28"/>
          <w:szCs w:val="28"/>
          <w14:textFill>
            <w14:solidFill>
              <w14:schemeClr w14:val="tx1"/>
            </w14:solidFill>
          </w14:textFill>
        </w:rPr>
        <w:t>查阅表</w:t>
      </w:r>
      <w:r>
        <w:rPr>
          <w:rFonts w:ascii="Times New Roman" w:hAnsi="Times New Roman" w:eastAsia="宋体" w:cs="Times New Roman"/>
          <w:bCs/>
          <w:color w:val="000000" w:themeColor="text1"/>
          <w:sz w:val="28"/>
          <w:szCs w:val="28"/>
          <w14:textFill>
            <w14:solidFill>
              <w14:schemeClr w14:val="tx1"/>
            </w14:solidFill>
          </w14:textFill>
        </w:rPr>
        <w:t>4获得待测品种的抗性级别。</w:t>
      </w:r>
    </w:p>
    <w:p>
      <w:pPr>
        <w:pStyle w:val="24"/>
        <w:numPr>
          <w:ilvl w:val="255"/>
          <w:numId w:val="0"/>
        </w:num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w:t>
      </w:r>
      <w:r>
        <w:rPr>
          <w:rFonts w:ascii="Times New Roman" w:hAnsi="Times New Roman" w:eastAsia="宋体" w:cs="Times New Roman"/>
          <w:b/>
          <w:color w:val="000000" w:themeColor="text1"/>
          <w:sz w:val="28"/>
          <w:szCs w:val="28"/>
          <w14:textFill>
            <w14:solidFill>
              <w14:schemeClr w14:val="tx1"/>
            </w14:solidFill>
          </w14:textFill>
        </w:rPr>
        <w:t>2</w:t>
      </w:r>
      <w:r>
        <w:rPr>
          <w:rFonts w:hint="eastAsia" w:ascii="Times New Roman" w:hAnsi="Times New Roman" w:eastAsia="宋体" w:cs="Times New Roman"/>
          <w:b/>
          <w:color w:val="000000" w:themeColor="text1"/>
          <w:sz w:val="28"/>
          <w:szCs w:val="28"/>
          <w14:textFill>
            <w14:solidFill>
              <w14:schemeClr w14:val="tx1"/>
            </w14:solidFill>
          </w14:textFill>
        </w:rPr>
        <w:t>）重复评价</w:t>
      </w:r>
    </w:p>
    <w:p>
      <w:pPr>
        <w:spacing w:line="360" w:lineRule="auto"/>
        <w:ind w:firstLine="703" w:firstLineChars="250"/>
        <w:rPr>
          <w:rFonts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标准内容：</w:t>
      </w:r>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每份参试材料应至少在两年内进行</w:t>
      </w:r>
      <w:r>
        <w:rPr>
          <w:rFonts w:ascii="Times New Roman" w:hAnsi="Times New Roman" w:eastAsia="宋体" w:cs="Times New Roman"/>
          <w:bCs/>
          <w:color w:val="000000" w:themeColor="text1"/>
          <w:sz w:val="28"/>
          <w:szCs w:val="28"/>
          <w14:textFill>
            <w14:solidFill>
              <w14:schemeClr w14:val="tx1"/>
            </w14:solidFill>
          </w14:textFill>
        </w:rPr>
        <w:t>2次重复评价。当年评价中，参试材料中个别重复出现蓟马数量消长明显异常的情况，则应在来年进行重复评价。</w:t>
      </w:r>
    </w:p>
    <w:p>
      <w:pPr>
        <w:spacing w:line="360" w:lineRule="auto"/>
        <w:ind w:firstLine="562"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理由及依据：</w:t>
      </w:r>
      <w:r>
        <w:rPr>
          <w:rFonts w:hint="eastAsia" w:ascii="Times New Roman" w:hAnsi="Times New Roman" w:eastAsia="宋体" w:cs="Times New Roman"/>
          <w:bCs/>
          <w:color w:val="000000" w:themeColor="text1"/>
          <w:sz w:val="28"/>
          <w:szCs w:val="28"/>
          <w14:textFill>
            <w14:solidFill>
              <w14:schemeClr w14:val="tx1"/>
            </w14:solidFill>
          </w14:textFill>
        </w:rPr>
        <w:t>抗性评价结果为后续筛选不同地区适宜种植的苜蓿提供参考，应保证准确客观。为避免蓟马种群由于外界环境或其他影响因素出现明显的数量消长的异常情况，应进行重复评价。</w:t>
      </w:r>
    </w:p>
    <w:p>
      <w:pPr>
        <w:pStyle w:val="24"/>
        <w:numPr>
          <w:ilvl w:val="255"/>
          <w:numId w:val="0"/>
        </w:num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w:t>
      </w:r>
      <w:r>
        <w:rPr>
          <w:rFonts w:ascii="Times New Roman" w:hAnsi="Times New Roman" w:eastAsia="宋体" w:cs="Times New Roman"/>
          <w:b/>
          <w:color w:val="000000" w:themeColor="text1"/>
          <w:sz w:val="28"/>
          <w:szCs w:val="28"/>
          <w14:textFill>
            <w14:solidFill>
              <w14:schemeClr w14:val="tx1"/>
            </w14:solidFill>
          </w14:textFill>
        </w:rPr>
        <w:t>3</w:t>
      </w:r>
      <w:r>
        <w:rPr>
          <w:rFonts w:hint="eastAsia" w:ascii="Times New Roman" w:hAnsi="Times New Roman" w:eastAsia="宋体" w:cs="Times New Roman"/>
          <w:b/>
          <w:color w:val="000000" w:themeColor="text1"/>
          <w:sz w:val="28"/>
          <w:szCs w:val="28"/>
          <w14:textFill>
            <w14:solidFill>
              <w14:schemeClr w14:val="tx1"/>
            </w14:solidFill>
          </w14:textFill>
        </w:rPr>
        <w:t>）分级评价</w:t>
      </w:r>
    </w:p>
    <w:p>
      <w:pPr>
        <w:spacing w:line="360" w:lineRule="auto"/>
        <w:ind w:firstLine="562" w:firstLineChars="200"/>
        <w:rPr>
          <w:rFonts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标准内容：</w:t>
      </w:r>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根据蓟马抗性指数数值按照表</w:t>
      </w:r>
      <w:r>
        <w:rPr>
          <w:rFonts w:ascii="Times New Roman" w:hAnsi="Times New Roman" w:eastAsia="宋体" w:cs="Times New Roman"/>
          <w:bCs/>
          <w:color w:val="000000" w:themeColor="text1"/>
          <w:sz w:val="28"/>
          <w:szCs w:val="28"/>
          <w14:textFill>
            <w14:solidFill>
              <w14:schemeClr w14:val="tx1"/>
            </w14:solidFill>
          </w14:textFill>
        </w:rPr>
        <w:t>4的规定确定待测苜蓿品种蓟马抗性级别。两年内重复评价的蓟马抗性级别不一致时，以抗性较差的抗性级别作为最终评价结果。同一份待评价材料出现明显的抗性、感性分离时，则应注明“抗性分离”。</w:t>
      </w:r>
    </w:p>
    <w:p>
      <w:pPr>
        <w:spacing w:line="360" w:lineRule="auto"/>
        <w:ind w:firstLine="562" w:firstLineChars="200"/>
        <w:rPr>
          <w:rFonts w:ascii="Times New Roman" w:hAnsi="Times New Roman" w:eastAsia="宋体" w:cs="Times New Roman"/>
          <w:bCs/>
          <w:color w:val="000000" w:themeColor="text1"/>
          <w:sz w:val="28"/>
          <w:szCs w:val="28"/>
          <w14:textFill>
            <w14:solidFill>
              <w14:schemeClr w14:val="tx1"/>
            </w14:solidFill>
          </w14:textFill>
        </w:rPr>
      </w:pPr>
      <w:r>
        <w:rPr>
          <w:rFonts w:ascii="Times New Roman" w:hAnsi="Times New Roman" w:eastAsia="宋体" w:cs="Times New Roman"/>
          <w:b/>
          <w:color w:val="000000" w:themeColor="text1"/>
          <w:sz w:val="28"/>
          <w:szCs w:val="28"/>
          <w14:textFill>
            <w14:solidFill>
              <w14:schemeClr w14:val="tx1"/>
            </w14:solidFill>
          </w14:textFill>
        </w:rPr>
        <w:t>理由及依据：</w:t>
      </w:r>
      <w:r>
        <w:rPr>
          <w:rFonts w:ascii="Times New Roman" w:hAnsi="Times New Roman" w:eastAsia="宋体" w:cs="Times New Roman"/>
          <w:bCs/>
          <w:color w:val="000000" w:themeColor="text1"/>
          <w:sz w:val="28"/>
          <w:szCs w:val="28"/>
          <w14:textFill>
            <w14:solidFill>
              <w14:schemeClr w14:val="tx1"/>
            </w14:solidFill>
          </w14:textFill>
        </w:rPr>
        <w:t>工作组用上面提及的</w:t>
      </w:r>
      <w:r>
        <w:rPr>
          <w:rFonts w:hint="eastAsia" w:ascii="Times New Roman" w:hAnsi="Times New Roman" w:eastAsia="宋体" w:cs="Times New Roman"/>
          <w:bCs/>
          <w:color w:val="000000" w:themeColor="text1"/>
          <w:sz w:val="28"/>
          <w:szCs w:val="28"/>
          <w14:textFill>
            <w14:solidFill>
              <w14:schemeClr w14:val="tx1"/>
            </w14:solidFill>
          </w14:textFill>
        </w:rPr>
        <w:t>抗性指</w:t>
      </w:r>
      <w:r>
        <w:rPr>
          <w:rFonts w:ascii="Times New Roman" w:hAnsi="Times New Roman" w:eastAsia="宋体" w:cs="Times New Roman"/>
          <w:bCs/>
          <w:color w:val="000000" w:themeColor="text1"/>
          <w:sz w:val="28"/>
          <w:szCs w:val="28"/>
          <w14:textFill>
            <w14:solidFill>
              <w14:schemeClr w14:val="tx1"/>
            </w14:solidFill>
          </w14:textFill>
        </w:rPr>
        <w:t>数法</w:t>
      </w:r>
      <w:r>
        <w:rPr>
          <w:rFonts w:hint="eastAsia" w:ascii="Times New Roman" w:hAnsi="Times New Roman" w:eastAsia="宋体" w:cs="Times New Roman"/>
          <w:bCs/>
          <w:color w:val="000000" w:themeColor="text1"/>
          <w:sz w:val="28"/>
          <w:szCs w:val="28"/>
          <w14:textFill>
            <w14:solidFill>
              <w14:schemeClr w14:val="tx1"/>
            </w14:solidFill>
          </w14:textFill>
        </w:rPr>
        <w:t>，对在河北等省区获</w:t>
      </w:r>
      <w:r>
        <w:rPr>
          <w:rFonts w:ascii="Times New Roman" w:hAnsi="Times New Roman" w:eastAsia="宋体" w:cs="Times New Roman"/>
          <w:bCs/>
          <w:color w:val="000000" w:themeColor="text1"/>
          <w:sz w:val="28"/>
          <w:szCs w:val="28"/>
          <w14:textFill>
            <w14:solidFill>
              <w14:schemeClr w14:val="tx1"/>
            </w14:solidFill>
          </w14:textFill>
        </w:rPr>
        <w:t>得</w:t>
      </w:r>
      <w:r>
        <w:rPr>
          <w:rFonts w:hint="eastAsia" w:ascii="Times New Roman" w:hAnsi="Times New Roman" w:eastAsia="宋体" w:cs="Times New Roman"/>
          <w:bCs/>
          <w:color w:val="000000" w:themeColor="text1"/>
          <w:sz w:val="28"/>
          <w:szCs w:val="28"/>
          <w14:textFill>
            <w14:solidFill>
              <w14:schemeClr w14:val="tx1"/>
            </w14:solidFill>
          </w14:textFill>
        </w:rPr>
        <w:t>的1</w:t>
      </w:r>
      <w:r>
        <w:rPr>
          <w:rFonts w:ascii="Times New Roman" w:hAnsi="Times New Roman" w:eastAsia="宋体" w:cs="Times New Roman"/>
          <w:bCs/>
          <w:color w:val="000000" w:themeColor="text1"/>
          <w:sz w:val="28"/>
          <w:szCs w:val="28"/>
          <w14:textFill>
            <w14:solidFill>
              <w14:schemeClr w14:val="tx1"/>
            </w14:solidFill>
          </w14:textFill>
        </w:rPr>
        <w:t>2600</w:t>
      </w:r>
      <w:r>
        <w:rPr>
          <w:rFonts w:hint="eastAsia" w:ascii="Times New Roman" w:hAnsi="Times New Roman" w:eastAsia="宋体" w:cs="Times New Roman"/>
          <w:bCs/>
          <w:color w:val="000000" w:themeColor="text1"/>
          <w:sz w:val="28"/>
          <w:szCs w:val="28"/>
          <w14:textFill>
            <w14:solidFill>
              <w14:schemeClr w14:val="tx1"/>
            </w14:solidFill>
          </w14:textFill>
        </w:rPr>
        <w:t>余条主要蓟马抗性调查数据进</w:t>
      </w:r>
      <w:r>
        <w:rPr>
          <w:rFonts w:ascii="Times New Roman" w:hAnsi="Times New Roman" w:eastAsia="宋体" w:cs="Times New Roman"/>
          <w:bCs/>
          <w:color w:val="000000" w:themeColor="text1"/>
          <w:sz w:val="28"/>
          <w:szCs w:val="28"/>
          <w14:textFill>
            <w14:solidFill>
              <w14:schemeClr w14:val="tx1"/>
            </w14:solidFill>
          </w14:textFill>
        </w:rPr>
        <w:t>行计算和统计，发现</w:t>
      </w:r>
      <w:r>
        <w:rPr>
          <w:rFonts w:hint="eastAsia" w:ascii="Times New Roman" w:hAnsi="Times New Roman" w:eastAsia="宋体" w:cs="Times New Roman"/>
          <w:bCs/>
          <w:color w:val="000000" w:themeColor="text1"/>
          <w:sz w:val="28"/>
          <w:szCs w:val="28"/>
          <w14:textFill>
            <w14:solidFill>
              <w14:schemeClr w14:val="tx1"/>
            </w14:solidFill>
          </w14:textFill>
        </w:rPr>
        <w:t>不</w:t>
      </w:r>
      <w:r>
        <w:rPr>
          <w:rFonts w:ascii="Times New Roman" w:hAnsi="Times New Roman" w:eastAsia="宋体" w:cs="Times New Roman"/>
          <w:bCs/>
          <w:color w:val="000000" w:themeColor="text1"/>
          <w:sz w:val="28"/>
          <w:szCs w:val="28"/>
          <w14:textFill>
            <w14:solidFill>
              <w14:schemeClr w14:val="tx1"/>
            </w14:solidFill>
          </w14:textFill>
        </w:rPr>
        <w:t>同省区苜蓿</w:t>
      </w:r>
      <w:r>
        <w:rPr>
          <w:rFonts w:hint="eastAsia" w:ascii="Times New Roman" w:hAnsi="Times New Roman" w:eastAsia="宋体" w:cs="Times New Roman"/>
          <w:bCs/>
          <w:color w:val="000000" w:themeColor="text1"/>
          <w:sz w:val="28"/>
          <w:szCs w:val="28"/>
          <w14:textFill>
            <w14:solidFill>
              <w14:schemeClr w14:val="tx1"/>
            </w14:solidFill>
          </w14:textFill>
        </w:rPr>
        <w:t>蓟马抗性与</w:t>
      </w:r>
      <w:r>
        <w:rPr>
          <w:rFonts w:ascii="Times New Roman" w:hAnsi="Times New Roman" w:eastAsia="宋体" w:cs="Times New Roman"/>
          <w:bCs/>
          <w:color w:val="000000" w:themeColor="text1"/>
          <w:sz w:val="28"/>
          <w:szCs w:val="28"/>
          <w14:textFill>
            <w14:solidFill>
              <w14:schemeClr w14:val="tx1"/>
            </w14:solidFill>
          </w14:textFill>
        </w:rPr>
        <w:t>袁</w:t>
      </w:r>
      <w:r>
        <w:rPr>
          <w:rFonts w:hint="eastAsia" w:ascii="Times New Roman" w:hAnsi="Times New Roman" w:eastAsia="宋体" w:cs="Times New Roman"/>
          <w:bCs/>
          <w:color w:val="000000" w:themeColor="text1"/>
          <w:sz w:val="28"/>
          <w:szCs w:val="28"/>
          <w14:textFill>
            <w14:solidFill>
              <w14:schemeClr w14:val="tx1"/>
            </w14:solidFill>
          </w14:textFill>
        </w:rPr>
        <w:t>庆</w:t>
      </w:r>
      <w:r>
        <w:rPr>
          <w:rFonts w:ascii="Times New Roman" w:hAnsi="Times New Roman" w:eastAsia="宋体" w:cs="Times New Roman"/>
          <w:bCs/>
          <w:color w:val="000000" w:themeColor="text1"/>
          <w:sz w:val="28"/>
          <w:szCs w:val="28"/>
          <w14:textFill>
            <w14:solidFill>
              <w14:schemeClr w14:val="tx1"/>
            </w14:solidFill>
          </w14:textFill>
        </w:rPr>
        <w:t>华</w:t>
      </w:r>
      <w:r>
        <w:rPr>
          <w:rFonts w:hint="eastAsia" w:ascii="Times New Roman" w:hAnsi="Times New Roman" w:eastAsia="宋体" w:cs="Times New Roman"/>
          <w:bCs/>
          <w:color w:val="000000" w:themeColor="text1"/>
          <w:sz w:val="28"/>
          <w:szCs w:val="28"/>
          <w14:textFill>
            <w14:solidFill>
              <w14:schemeClr w14:val="tx1"/>
            </w14:solidFill>
          </w14:textFill>
        </w:rPr>
        <w:t>等人研究提出</w:t>
      </w:r>
      <w:r>
        <w:rPr>
          <w:rFonts w:ascii="Times New Roman" w:hAnsi="Times New Roman" w:eastAsia="宋体" w:cs="Times New Roman"/>
          <w:bCs/>
          <w:color w:val="000000" w:themeColor="text1"/>
          <w:sz w:val="28"/>
          <w:szCs w:val="28"/>
          <w14:textFill>
            <w14:solidFill>
              <w14:schemeClr w14:val="tx1"/>
            </w14:solidFill>
          </w14:textFill>
        </w:rPr>
        <w:t>的高</w:t>
      </w:r>
      <w:r>
        <w:rPr>
          <w:rFonts w:hint="eastAsia" w:ascii="Times New Roman" w:hAnsi="Times New Roman" w:eastAsia="宋体" w:cs="Times New Roman"/>
          <w:bCs/>
          <w:color w:val="000000" w:themeColor="text1"/>
          <w:sz w:val="28"/>
          <w:szCs w:val="28"/>
          <w14:textFill>
            <w14:solidFill>
              <w14:schemeClr w14:val="tx1"/>
            </w14:solidFill>
          </w14:textFill>
        </w:rPr>
        <w:t>抗、</w:t>
      </w:r>
      <w:r>
        <w:rPr>
          <w:rFonts w:ascii="Times New Roman" w:hAnsi="Times New Roman" w:eastAsia="宋体" w:cs="Times New Roman"/>
          <w:bCs/>
          <w:color w:val="000000" w:themeColor="text1"/>
          <w:sz w:val="28"/>
          <w:szCs w:val="28"/>
          <w14:textFill>
            <w14:solidFill>
              <w14:schemeClr w14:val="tx1"/>
            </w14:solidFill>
          </w14:textFill>
        </w:rPr>
        <w:t>中</w:t>
      </w:r>
      <w:r>
        <w:rPr>
          <w:rFonts w:hint="eastAsia" w:ascii="Times New Roman" w:hAnsi="Times New Roman" w:eastAsia="宋体" w:cs="Times New Roman"/>
          <w:bCs/>
          <w:color w:val="000000" w:themeColor="text1"/>
          <w:sz w:val="28"/>
          <w:szCs w:val="28"/>
          <w14:textFill>
            <w14:solidFill>
              <w14:schemeClr w14:val="tx1"/>
            </w14:solidFill>
          </w14:textFill>
        </w:rPr>
        <w:t>抗</w:t>
      </w:r>
      <w:r>
        <w:rPr>
          <w:rFonts w:ascii="Times New Roman" w:hAnsi="Times New Roman" w:eastAsia="宋体" w:cs="Times New Roman"/>
          <w:bCs/>
          <w:color w:val="000000" w:themeColor="text1"/>
          <w:sz w:val="28"/>
          <w:szCs w:val="28"/>
          <w14:textFill>
            <w14:solidFill>
              <w14:schemeClr w14:val="tx1"/>
            </w14:solidFill>
          </w14:textFill>
        </w:rPr>
        <w:t>、低感、中</w:t>
      </w:r>
      <w:r>
        <w:rPr>
          <w:rFonts w:hint="eastAsia" w:ascii="Times New Roman" w:hAnsi="Times New Roman" w:eastAsia="宋体" w:cs="Times New Roman"/>
          <w:bCs/>
          <w:color w:val="000000" w:themeColor="text1"/>
          <w:sz w:val="28"/>
          <w:szCs w:val="28"/>
          <w14:textFill>
            <w14:solidFill>
              <w14:schemeClr w14:val="tx1"/>
            </w14:solidFill>
          </w14:textFill>
        </w:rPr>
        <w:t>感</w:t>
      </w:r>
      <w:r>
        <w:rPr>
          <w:rFonts w:ascii="Times New Roman" w:hAnsi="Times New Roman" w:eastAsia="宋体" w:cs="Times New Roman"/>
          <w:bCs/>
          <w:color w:val="000000" w:themeColor="text1"/>
          <w:sz w:val="28"/>
          <w:szCs w:val="28"/>
          <w14:textFill>
            <w14:solidFill>
              <w14:schemeClr w14:val="tx1"/>
            </w14:solidFill>
          </w14:textFill>
        </w:rPr>
        <w:t>和高感</w:t>
      </w:r>
      <w:r>
        <w:rPr>
          <w:rFonts w:hint="eastAsia" w:ascii="Times New Roman" w:hAnsi="Times New Roman" w:eastAsia="宋体" w:cs="Times New Roman"/>
          <w:bCs/>
          <w:color w:val="000000" w:themeColor="text1"/>
          <w:sz w:val="28"/>
          <w:szCs w:val="28"/>
          <w14:textFill>
            <w14:solidFill>
              <w14:schemeClr w14:val="tx1"/>
            </w14:solidFill>
          </w14:textFill>
        </w:rPr>
        <w:t>级</w:t>
      </w:r>
      <w:r>
        <w:rPr>
          <w:rFonts w:ascii="Times New Roman" w:hAnsi="Times New Roman" w:eastAsia="宋体" w:cs="Times New Roman"/>
          <w:bCs/>
          <w:color w:val="000000" w:themeColor="text1"/>
          <w:sz w:val="28"/>
          <w:szCs w:val="28"/>
          <w14:textFill>
            <w14:solidFill>
              <w14:schemeClr w14:val="tx1"/>
            </w14:solidFill>
          </w14:textFill>
        </w:rPr>
        <w:t>别的</w:t>
      </w:r>
      <w:r>
        <w:rPr>
          <w:rFonts w:hint="eastAsia" w:ascii="Times New Roman" w:hAnsi="Times New Roman" w:eastAsia="宋体" w:cs="Times New Roman"/>
          <w:bCs/>
          <w:color w:val="000000" w:themeColor="text1"/>
          <w:sz w:val="28"/>
          <w:szCs w:val="28"/>
          <w14:textFill>
            <w14:solidFill>
              <w14:schemeClr w14:val="tx1"/>
            </w14:solidFill>
          </w14:textFill>
        </w:rPr>
        <w:t>占</w:t>
      </w:r>
      <w:r>
        <w:rPr>
          <w:rFonts w:ascii="Times New Roman" w:hAnsi="Times New Roman" w:eastAsia="宋体" w:cs="Times New Roman"/>
          <w:bCs/>
          <w:color w:val="000000" w:themeColor="text1"/>
          <w:sz w:val="28"/>
          <w:szCs w:val="28"/>
          <w14:textFill>
            <w14:solidFill>
              <w14:schemeClr w14:val="tx1"/>
            </w14:solidFill>
          </w14:textFill>
        </w:rPr>
        <w:t>比</w:t>
      </w:r>
      <w:r>
        <w:rPr>
          <w:rFonts w:hint="eastAsia" w:ascii="Times New Roman" w:hAnsi="Times New Roman" w:eastAsia="宋体" w:cs="Times New Roman"/>
          <w:bCs/>
          <w:color w:val="000000" w:themeColor="text1"/>
          <w:sz w:val="28"/>
          <w:szCs w:val="28"/>
          <w14:textFill>
            <w14:solidFill>
              <w14:schemeClr w14:val="tx1"/>
            </w14:solidFill>
          </w14:textFill>
        </w:rPr>
        <w:t>（</w:t>
      </w:r>
      <w:r>
        <w:rPr>
          <w:rFonts w:ascii="Times New Roman" w:hAnsi="Times New Roman" w:eastAsia="宋体" w:cs="Times New Roman"/>
          <w:bCs/>
          <w:color w:val="000000" w:themeColor="text1"/>
          <w:sz w:val="28"/>
          <w:szCs w:val="28"/>
          <w14:textFill>
            <w14:solidFill>
              <w14:schemeClr w14:val="tx1"/>
            </w14:solidFill>
          </w14:textFill>
        </w:rPr>
        <w:t>见表</w:t>
      </w:r>
      <w:r>
        <w:rPr>
          <w:rFonts w:hint="eastAsia" w:ascii="Times New Roman" w:hAnsi="Times New Roman" w:eastAsia="宋体" w:cs="Times New Roman"/>
          <w:bCs/>
          <w:color w:val="000000" w:themeColor="text1"/>
          <w:sz w:val="28"/>
          <w:szCs w:val="28"/>
          <w14:textFill>
            <w14:solidFill>
              <w14:schemeClr w14:val="tx1"/>
            </w14:solidFill>
          </w14:textFill>
        </w:rPr>
        <w:t>5）</w:t>
      </w:r>
      <w:r>
        <w:rPr>
          <w:rFonts w:ascii="Times New Roman" w:hAnsi="Times New Roman" w:eastAsia="宋体" w:cs="Times New Roman"/>
          <w:bCs/>
          <w:color w:val="000000" w:themeColor="text1"/>
          <w:sz w:val="28"/>
          <w:szCs w:val="28"/>
          <w14:textFill>
            <w14:solidFill>
              <w14:schemeClr w14:val="tx1"/>
            </w14:solidFill>
          </w14:textFill>
        </w:rPr>
        <w:t>符合</w:t>
      </w:r>
      <w:r>
        <w:rPr>
          <w:rFonts w:hint="eastAsia" w:ascii="Times New Roman" w:hAnsi="Times New Roman" w:eastAsia="宋体" w:cs="Times New Roman"/>
          <w:bCs/>
          <w:color w:val="000000" w:themeColor="text1"/>
          <w:sz w:val="28"/>
          <w:szCs w:val="28"/>
          <w14:textFill>
            <w14:solidFill>
              <w14:schemeClr w14:val="tx1"/>
            </w14:solidFill>
          </w14:textFill>
        </w:rPr>
        <w:t>当</w:t>
      </w:r>
      <w:r>
        <w:rPr>
          <w:rFonts w:ascii="Times New Roman" w:hAnsi="Times New Roman" w:eastAsia="宋体" w:cs="Times New Roman"/>
          <w:bCs/>
          <w:color w:val="000000" w:themeColor="text1"/>
          <w:sz w:val="28"/>
          <w:szCs w:val="28"/>
          <w14:textFill>
            <w14:solidFill>
              <w14:schemeClr w14:val="tx1"/>
            </w14:solidFill>
          </w14:textFill>
        </w:rPr>
        <w:t>地</w:t>
      </w:r>
      <w:r>
        <w:rPr>
          <w:rFonts w:hint="eastAsia" w:ascii="Times New Roman" w:hAnsi="Times New Roman" w:eastAsia="宋体" w:cs="Times New Roman"/>
          <w:bCs/>
          <w:color w:val="000000" w:themeColor="text1"/>
          <w:sz w:val="28"/>
          <w:szCs w:val="28"/>
          <w14:textFill>
            <w14:solidFill>
              <w14:schemeClr w14:val="tx1"/>
            </w14:solidFill>
          </w14:textFill>
        </w:rPr>
        <w:t>区域</w:t>
      </w:r>
      <w:r>
        <w:rPr>
          <w:rFonts w:ascii="Times New Roman" w:hAnsi="Times New Roman" w:eastAsia="宋体" w:cs="Times New Roman"/>
          <w:bCs/>
          <w:color w:val="000000" w:themeColor="text1"/>
          <w:sz w:val="28"/>
          <w:szCs w:val="28"/>
          <w14:textFill>
            <w14:solidFill>
              <w14:schemeClr w14:val="tx1"/>
            </w14:solidFill>
          </w14:textFill>
        </w:rPr>
        <w:t>苜蓿</w:t>
      </w:r>
      <w:r>
        <w:rPr>
          <w:rFonts w:hint="eastAsia" w:ascii="Times New Roman" w:hAnsi="Times New Roman" w:eastAsia="宋体" w:cs="Times New Roman"/>
          <w:bCs/>
          <w:color w:val="000000" w:themeColor="text1"/>
          <w:sz w:val="28"/>
          <w:szCs w:val="28"/>
          <w14:textFill>
            <w14:solidFill>
              <w14:schemeClr w14:val="tx1"/>
            </w14:solidFill>
          </w14:textFill>
        </w:rPr>
        <w:t>蓟马抗性</w:t>
      </w:r>
      <w:r>
        <w:rPr>
          <w:rFonts w:ascii="Times New Roman" w:hAnsi="Times New Roman" w:eastAsia="宋体" w:cs="Times New Roman"/>
          <w:bCs/>
          <w:color w:val="000000" w:themeColor="text1"/>
          <w:sz w:val="28"/>
          <w:szCs w:val="28"/>
          <w14:textFill>
            <w14:solidFill>
              <w14:schemeClr w14:val="tx1"/>
            </w14:solidFill>
          </w14:textFill>
        </w:rPr>
        <w:t>的特点，</w:t>
      </w:r>
      <w:r>
        <w:rPr>
          <w:rFonts w:hint="eastAsia" w:ascii="Times New Roman" w:hAnsi="Times New Roman" w:eastAsia="宋体" w:cs="Times New Roman"/>
          <w:bCs/>
          <w:color w:val="000000" w:themeColor="text1"/>
          <w:sz w:val="28"/>
          <w:szCs w:val="28"/>
          <w14:textFill>
            <w14:solidFill>
              <w14:schemeClr w14:val="tx1"/>
            </w14:solidFill>
          </w14:textFill>
        </w:rPr>
        <w:t>进</w:t>
      </w:r>
      <w:r>
        <w:rPr>
          <w:rFonts w:ascii="Times New Roman" w:hAnsi="Times New Roman" w:eastAsia="宋体" w:cs="Times New Roman"/>
          <w:bCs/>
          <w:color w:val="000000" w:themeColor="text1"/>
          <w:sz w:val="28"/>
          <w:szCs w:val="28"/>
          <w14:textFill>
            <w14:solidFill>
              <w14:schemeClr w14:val="tx1"/>
            </w14:solidFill>
          </w14:textFill>
        </w:rPr>
        <w:t>一步验证了</w:t>
      </w:r>
      <w:r>
        <w:rPr>
          <w:rFonts w:hint="eastAsia" w:ascii="Times New Roman" w:hAnsi="Times New Roman" w:eastAsia="宋体" w:cs="Times New Roman"/>
          <w:bCs/>
          <w:color w:val="000000" w:themeColor="text1"/>
          <w:sz w:val="28"/>
          <w:szCs w:val="28"/>
          <w14:textFill>
            <w14:solidFill>
              <w14:schemeClr w14:val="tx1"/>
            </w14:solidFill>
          </w14:textFill>
        </w:rPr>
        <w:t>采用蓟马量比值方法分级的合</w:t>
      </w:r>
      <w:r>
        <w:rPr>
          <w:rFonts w:ascii="Times New Roman" w:hAnsi="Times New Roman" w:eastAsia="宋体" w:cs="Times New Roman"/>
          <w:bCs/>
          <w:color w:val="000000" w:themeColor="text1"/>
          <w:sz w:val="28"/>
          <w:szCs w:val="28"/>
          <w14:textFill>
            <w14:solidFill>
              <w14:schemeClr w14:val="tx1"/>
            </w14:solidFill>
          </w14:textFill>
        </w:rPr>
        <w:t>理性，</w:t>
      </w:r>
      <w:r>
        <w:rPr>
          <w:rFonts w:hint="eastAsia" w:ascii="Times New Roman" w:hAnsi="Times New Roman" w:eastAsia="宋体" w:cs="Times New Roman"/>
          <w:bCs/>
          <w:color w:val="000000" w:themeColor="text1"/>
          <w:sz w:val="28"/>
          <w:szCs w:val="28"/>
          <w14:textFill>
            <w14:solidFill>
              <w14:schemeClr w14:val="tx1"/>
            </w14:solidFill>
          </w14:textFill>
        </w:rPr>
        <w:t>故本</w:t>
      </w:r>
      <w:r>
        <w:rPr>
          <w:rFonts w:ascii="Times New Roman" w:hAnsi="Times New Roman" w:eastAsia="宋体" w:cs="Times New Roman"/>
          <w:bCs/>
          <w:color w:val="000000" w:themeColor="text1"/>
          <w:sz w:val="28"/>
          <w:szCs w:val="28"/>
          <w14:textFill>
            <w14:solidFill>
              <w14:schemeClr w14:val="tx1"/>
            </w14:solidFill>
          </w14:textFill>
        </w:rPr>
        <w:t>标准苜蓿抗蓟马级别划分最终采用了</w:t>
      </w:r>
      <w:r>
        <w:rPr>
          <w:rFonts w:hint="eastAsia" w:ascii="Times New Roman" w:hAnsi="Times New Roman" w:eastAsia="宋体" w:cs="Times New Roman"/>
          <w:bCs/>
          <w:color w:val="000000" w:themeColor="text1"/>
          <w:sz w:val="28"/>
          <w:szCs w:val="28"/>
          <w14:textFill>
            <w14:solidFill>
              <w14:schemeClr w14:val="tx1"/>
            </w14:solidFill>
          </w14:textFill>
        </w:rPr>
        <w:t>标准</w:t>
      </w:r>
      <w:r>
        <w:rPr>
          <w:rFonts w:ascii="Times New Roman" w:hAnsi="Times New Roman" w:eastAsia="宋体" w:cs="Times New Roman"/>
          <w:bCs/>
          <w:color w:val="000000" w:themeColor="text1"/>
          <w:sz w:val="28"/>
          <w:szCs w:val="28"/>
          <w14:textFill>
            <w14:solidFill>
              <w14:schemeClr w14:val="tx1"/>
            </w14:solidFill>
          </w14:textFill>
        </w:rPr>
        <w:t>起草人袁</w:t>
      </w:r>
      <w:r>
        <w:rPr>
          <w:rFonts w:hint="eastAsia" w:ascii="Times New Roman" w:hAnsi="Times New Roman" w:eastAsia="宋体" w:cs="Times New Roman"/>
          <w:bCs/>
          <w:color w:val="000000" w:themeColor="text1"/>
          <w:sz w:val="28"/>
          <w:szCs w:val="28"/>
          <w14:textFill>
            <w14:solidFill>
              <w14:schemeClr w14:val="tx1"/>
            </w14:solidFill>
          </w14:textFill>
        </w:rPr>
        <w:t>庆</w:t>
      </w:r>
      <w:r>
        <w:rPr>
          <w:rFonts w:ascii="Times New Roman" w:hAnsi="Times New Roman" w:eastAsia="宋体" w:cs="Times New Roman"/>
          <w:bCs/>
          <w:color w:val="000000" w:themeColor="text1"/>
          <w:sz w:val="28"/>
          <w:szCs w:val="28"/>
          <w14:textFill>
            <w14:solidFill>
              <w14:schemeClr w14:val="tx1"/>
            </w14:solidFill>
          </w14:textFill>
        </w:rPr>
        <w:t>华</w:t>
      </w:r>
      <w:r>
        <w:rPr>
          <w:rFonts w:hint="eastAsia" w:ascii="Times New Roman" w:hAnsi="Times New Roman" w:eastAsia="宋体" w:cs="Times New Roman"/>
          <w:bCs/>
          <w:color w:val="000000" w:themeColor="text1"/>
          <w:sz w:val="28"/>
          <w:szCs w:val="28"/>
          <w14:textFill>
            <w14:solidFill>
              <w14:schemeClr w14:val="tx1"/>
            </w14:solidFill>
          </w14:textFill>
        </w:rPr>
        <w:t>研究提</w:t>
      </w:r>
      <w:r>
        <w:rPr>
          <w:rFonts w:ascii="Times New Roman" w:hAnsi="Times New Roman" w:eastAsia="宋体" w:cs="Times New Roman"/>
          <w:bCs/>
          <w:color w:val="000000" w:themeColor="text1"/>
          <w:sz w:val="28"/>
          <w:szCs w:val="28"/>
          <w14:textFill>
            <w14:solidFill>
              <w14:schemeClr w14:val="tx1"/>
            </w14:solidFill>
          </w14:textFill>
        </w:rPr>
        <w:t>出</w:t>
      </w:r>
      <w:r>
        <w:rPr>
          <w:rFonts w:hint="eastAsia" w:ascii="Times New Roman" w:hAnsi="Times New Roman" w:eastAsia="宋体" w:cs="Times New Roman"/>
          <w:bCs/>
          <w:color w:val="000000" w:themeColor="text1"/>
          <w:sz w:val="28"/>
          <w:szCs w:val="28"/>
          <w14:textFill>
            <w14:solidFill>
              <w14:schemeClr w14:val="tx1"/>
            </w14:solidFill>
          </w14:textFill>
        </w:rPr>
        <w:t>的</w:t>
      </w:r>
      <w:r>
        <w:rPr>
          <w:rFonts w:ascii="Times New Roman" w:hAnsi="Times New Roman" w:eastAsia="宋体" w:cs="Times New Roman"/>
          <w:bCs/>
          <w:color w:val="000000" w:themeColor="text1"/>
          <w:sz w:val="28"/>
          <w:szCs w:val="28"/>
          <w14:textFill>
            <w14:solidFill>
              <w14:schemeClr w14:val="tx1"/>
            </w14:solidFill>
          </w14:textFill>
        </w:rPr>
        <w:t>苜蓿抗蓟马</w:t>
      </w:r>
      <w:r>
        <w:rPr>
          <w:rFonts w:hint="eastAsia" w:ascii="Times New Roman" w:hAnsi="Times New Roman" w:eastAsia="宋体" w:cs="Times New Roman"/>
          <w:bCs/>
          <w:color w:val="000000" w:themeColor="text1"/>
          <w:sz w:val="28"/>
          <w:szCs w:val="28"/>
          <w14:textFill>
            <w14:solidFill>
              <w14:schemeClr w14:val="tx1"/>
            </w14:solidFill>
          </w14:textFill>
        </w:rPr>
        <w:t>级</w:t>
      </w:r>
      <w:r>
        <w:rPr>
          <w:rFonts w:ascii="Times New Roman" w:hAnsi="Times New Roman" w:eastAsia="宋体" w:cs="Times New Roman"/>
          <w:bCs/>
          <w:color w:val="000000" w:themeColor="text1"/>
          <w:sz w:val="28"/>
          <w:szCs w:val="28"/>
          <w14:textFill>
            <w14:solidFill>
              <w14:schemeClr w14:val="tx1"/>
            </w14:solidFill>
          </w14:textFill>
        </w:rPr>
        <w:t>别</w:t>
      </w:r>
      <w:r>
        <w:rPr>
          <w:rFonts w:hint="eastAsia" w:ascii="Times New Roman" w:hAnsi="Times New Roman" w:eastAsia="宋体" w:cs="Times New Roman"/>
          <w:bCs/>
          <w:color w:val="000000" w:themeColor="text1"/>
          <w:sz w:val="28"/>
          <w:szCs w:val="28"/>
          <w14:textFill>
            <w14:solidFill>
              <w14:schemeClr w14:val="tx1"/>
            </w14:solidFill>
          </w14:textFill>
        </w:rPr>
        <w:t>的</w:t>
      </w:r>
      <w:r>
        <w:rPr>
          <w:rFonts w:ascii="Times New Roman" w:hAnsi="Times New Roman" w:eastAsia="宋体" w:cs="Times New Roman"/>
          <w:bCs/>
          <w:color w:val="000000" w:themeColor="text1"/>
          <w:sz w:val="28"/>
          <w:szCs w:val="28"/>
          <w14:textFill>
            <w14:solidFill>
              <w14:schemeClr w14:val="tx1"/>
            </w14:solidFill>
          </w14:textFill>
        </w:rPr>
        <w:t>划分及相对应的</w:t>
      </w:r>
      <w:r>
        <w:rPr>
          <w:rFonts w:hint="eastAsia" w:ascii="Times New Roman" w:hAnsi="Times New Roman" w:eastAsia="宋体" w:cs="Times New Roman"/>
          <w:bCs/>
          <w:color w:val="000000" w:themeColor="text1"/>
          <w:sz w:val="28"/>
          <w:szCs w:val="28"/>
          <w14:textFill>
            <w14:solidFill>
              <w14:schemeClr w14:val="tx1"/>
            </w14:solidFill>
          </w14:textFill>
        </w:rPr>
        <w:t>阀</w:t>
      </w:r>
      <w:r>
        <w:rPr>
          <w:rFonts w:ascii="Times New Roman" w:hAnsi="Times New Roman" w:eastAsia="宋体" w:cs="Times New Roman"/>
          <w:bCs/>
          <w:color w:val="000000" w:themeColor="text1"/>
          <w:sz w:val="28"/>
          <w:szCs w:val="28"/>
          <w14:textFill>
            <w14:solidFill>
              <w14:schemeClr w14:val="tx1"/>
            </w14:solidFill>
          </w14:textFill>
        </w:rPr>
        <w:t>值</w:t>
      </w:r>
      <w:r>
        <w:rPr>
          <w:rFonts w:hint="eastAsia" w:ascii="Times New Roman" w:hAnsi="Times New Roman" w:eastAsia="宋体" w:cs="Times New Roman"/>
          <w:bCs/>
          <w:color w:val="000000" w:themeColor="text1"/>
          <w:sz w:val="28"/>
          <w:szCs w:val="28"/>
          <w14:textFill>
            <w14:solidFill>
              <w14:schemeClr w14:val="tx1"/>
            </w14:solidFill>
          </w14:textFill>
        </w:rPr>
        <w:t>，即苜蓿抗蓟马级别共分为6级：高抗（HR，P≤0.30）；中抗（MR，0.30&lt;P≤0.60）；低抗（LR，0.60&lt;P≤0.90），低感（LS，0.90&lt;P≤1.20），中感（MS，1.20&lt;P≤1.50），高感（HS，P&gt;1.50）（见表</w:t>
      </w:r>
      <w:r>
        <w:rPr>
          <w:rFonts w:ascii="Times New Roman" w:hAnsi="Times New Roman" w:eastAsia="宋体" w:cs="Times New Roman"/>
          <w:bCs/>
          <w:color w:val="000000" w:themeColor="text1"/>
          <w:sz w:val="28"/>
          <w:szCs w:val="28"/>
          <w14:textFill>
            <w14:solidFill>
              <w14:schemeClr w14:val="tx1"/>
            </w14:solidFill>
          </w14:textFill>
        </w:rPr>
        <w:t>5</w:t>
      </w:r>
      <w:r>
        <w:rPr>
          <w:rFonts w:hint="eastAsia" w:ascii="Times New Roman" w:hAnsi="Times New Roman" w:eastAsia="宋体" w:cs="Times New Roman"/>
          <w:bCs/>
          <w:color w:val="000000" w:themeColor="text1"/>
          <w:sz w:val="28"/>
          <w:szCs w:val="28"/>
          <w14:textFill>
            <w14:solidFill>
              <w14:schemeClr w14:val="tx1"/>
            </w14:solidFill>
          </w14:textFill>
        </w:rPr>
        <w:t>）。</w:t>
      </w:r>
    </w:p>
    <w:p>
      <w:pPr>
        <w:snapToGrid w:val="0"/>
        <w:spacing w:before="312" w:beforeLines="100" w:line="360" w:lineRule="auto"/>
        <w:jc w:val="center"/>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表</w:t>
      </w:r>
      <w:r>
        <w:rPr>
          <w:rFonts w:ascii="Times New Roman" w:hAnsi="Times New Roman" w:eastAsia="宋体" w:cs="Times New Roman"/>
          <w:bCs/>
          <w:color w:val="000000" w:themeColor="text1"/>
          <w:sz w:val="28"/>
          <w:szCs w:val="28"/>
          <w14:textFill>
            <w14:solidFill>
              <w14:schemeClr w14:val="tx1"/>
            </w14:solidFill>
          </w14:textFill>
        </w:rPr>
        <w:t>5 苜蓿抗蓟马级别划分</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31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66" w:type="dxa"/>
            <w:vAlign w:val="center"/>
          </w:tcPr>
          <w:p>
            <w:pPr>
              <w:spacing w:before="156" w:beforeLines="50" w:after="156" w:afterLines="50" w:line="36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蓟马抗性指数（P）</w:t>
            </w:r>
          </w:p>
        </w:tc>
        <w:tc>
          <w:tcPr>
            <w:tcW w:w="3166" w:type="dxa"/>
            <w:vAlign w:val="center"/>
          </w:tcPr>
          <w:p>
            <w:pPr>
              <w:spacing w:before="156" w:beforeLines="50" w:after="156" w:afterLines="50" w:line="360" w:lineRule="auto"/>
              <w:jc w:val="center"/>
              <w:rPr>
                <w:rFonts w:ascii="Times New Roman" w:hAnsi="Times New Roman" w:eastAsia="宋体" w:cs="Times New Roman"/>
                <w:b/>
                <w:bCs/>
                <w:color w:val="000000"/>
                <w:szCs w:val="21"/>
              </w:rPr>
            </w:pPr>
            <w:r>
              <w:rPr>
                <w:rFonts w:ascii="Times New Roman" w:hAnsi="Times New Roman" w:eastAsia="宋体" w:cs="Times New Roman"/>
                <w:b/>
                <w:bCs/>
                <w:color w:val="000000"/>
                <w:szCs w:val="21"/>
              </w:rPr>
              <w:t>抗性级别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66" w:type="dxa"/>
            <w:vAlign w:val="center"/>
          </w:tcPr>
          <w:p>
            <w:pPr>
              <w:spacing w:before="156" w:beforeLines="50" w:after="156" w:afterLines="50"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P≤0.30</w:t>
            </w:r>
          </w:p>
        </w:tc>
        <w:tc>
          <w:tcPr>
            <w:tcW w:w="3166" w:type="dxa"/>
            <w:vAlign w:val="center"/>
          </w:tcPr>
          <w:p>
            <w:pPr>
              <w:spacing w:before="156" w:beforeLines="50" w:after="156" w:afterLines="50"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高抗（HR）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66" w:type="dxa"/>
            <w:vAlign w:val="center"/>
          </w:tcPr>
          <w:p>
            <w:pPr>
              <w:spacing w:before="156" w:beforeLines="50" w:after="156" w:afterLines="50"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0.30&lt;P≤0.60</w:t>
            </w:r>
          </w:p>
        </w:tc>
        <w:tc>
          <w:tcPr>
            <w:tcW w:w="3166" w:type="dxa"/>
            <w:vAlign w:val="center"/>
          </w:tcPr>
          <w:p>
            <w:pPr>
              <w:spacing w:before="156" w:beforeLines="50" w:after="156" w:afterLines="50"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中抗（MR）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66" w:type="dxa"/>
            <w:vAlign w:val="center"/>
          </w:tcPr>
          <w:p>
            <w:pPr>
              <w:spacing w:before="156" w:beforeLines="50" w:after="156" w:afterLines="50"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0.60&lt;P≤0.90</w:t>
            </w:r>
          </w:p>
        </w:tc>
        <w:tc>
          <w:tcPr>
            <w:tcW w:w="3166" w:type="dxa"/>
            <w:vAlign w:val="center"/>
          </w:tcPr>
          <w:p>
            <w:pPr>
              <w:spacing w:before="156" w:beforeLines="50" w:after="156" w:afterLines="50"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低抗（LR）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66" w:type="dxa"/>
            <w:vAlign w:val="center"/>
          </w:tcPr>
          <w:p>
            <w:pPr>
              <w:spacing w:before="156" w:beforeLines="50" w:after="156" w:afterLines="50"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0.90&lt;P≤1.20</w:t>
            </w:r>
          </w:p>
        </w:tc>
        <w:tc>
          <w:tcPr>
            <w:tcW w:w="3166" w:type="dxa"/>
            <w:vAlign w:val="center"/>
          </w:tcPr>
          <w:p>
            <w:pPr>
              <w:spacing w:before="156" w:beforeLines="50" w:after="156" w:afterLines="50"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低感（LS）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66" w:type="dxa"/>
            <w:vAlign w:val="center"/>
          </w:tcPr>
          <w:p>
            <w:pPr>
              <w:spacing w:before="156" w:beforeLines="50" w:after="156" w:afterLines="50"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1.20&lt;P≤1.50</w:t>
            </w:r>
          </w:p>
        </w:tc>
        <w:tc>
          <w:tcPr>
            <w:tcW w:w="3166" w:type="dxa"/>
            <w:vAlign w:val="center"/>
          </w:tcPr>
          <w:p>
            <w:pPr>
              <w:spacing w:before="156" w:beforeLines="50" w:after="156" w:afterLines="50"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中感（MS）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66" w:type="dxa"/>
            <w:vAlign w:val="center"/>
          </w:tcPr>
          <w:p>
            <w:pPr>
              <w:spacing w:before="156" w:beforeLines="50" w:after="156" w:afterLines="50"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P&gt;1.50</w:t>
            </w:r>
          </w:p>
        </w:tc>
        <w:tc>
          <w:tcPr>
            <w:tcW w:w="3166" w:type="dxa"/>
            <w:vAlign w:val="center"/>
          </w:tcPr>
          <w:p>
            <w:pPr>
              <w:spacing w:before="156" w:beforeLines="50" w:after="156" w:afterLines="50" w:line="360" w:lineRule="auto"/>
              <w:jc w:val="center"/>
              <w:rPr>
                <w:rFonts w:ascii="Times New Roman" w:hAnsi="Times New Roman" w:eastAsia="宋体" w:cs="Times New Roman"/>
                <w:color w:val="000000"/>
                <w:szCs w:val="21"/>
              </w:rPr>
            </w:pPr>
            <w:r>
              <w:rPr>
                <w:rFonts w:ascii="Times New Roman" w:hAnsi="Times New Roman" w:eastAsia="宋体" w:cs="Times New Roman"/>
                <w:color w:val="000000"/>
                <w:szCs w:val="21"/>
              </w:rPr>
              <w:t>高感（HS）</w:t>
            </w:r>
          </w:p>
        </w:tc>
      </w:tr>
    </w:tbl>
    <w:p>
      <w:pPr>
        <w:snapToGrid w:val="0"/>
        <w:spacing w:before="312" w:beforeLines="100" w:line="360" w:lineRule="auto"/>
        <w:jc w:val="center"/>
        <w:rPr>
          <w:rFonts w:ascii="Times New Roman" w:hAnsi="Times New Roman" w:eastAsia="宋体" w:cs="Times New Roman"/>
          <w:bCs/>
          <w:color w:val="000000" w:themeColor="text1"/>
          <w:sz w:val="28"/>
          <w:szCs w:val="28"/>
          <w14:textFill>
            <w14:solidFill>
              <w14:schemeClr w14:val="tx1"/>
            </w14:solidFill>
          </w14:textFill>
        </w:rPr>
      </w:pPr>
      <w:bookmarkStart w:id="88" w:name="_Toc8925"/>
      <w:bookmarkStart w:id="89" w:name="_Toc8633"/>
      <w:bookmarkStart w:id="90" w:name="_Toc26278"/>
      <w:bookmarkStart w:id="91" w:name="_Toc16982"/>
      <w:bookmarkStart w:id="92" w:name="_Toc2803"/>
      <w:r>
        <w:rPr>
          <w:rFonts w:hint="eastAsia" w:ascii="Times New Roman" w:hAnsi="Times New Roman" w:eastAsia="宋体" w:cs="Times New Roman"/>
          <w:bCs/>
          <w:color w:val="000000" w:themeColor="text1"/>
          <w:sz w:val="28"/>
          <w:szCs w:val="28"/>
          <w14:textFill>
            <w14:solidFill>
              <w14:schemeClr w14:val="tx1"/>
            </w14:solidFill>
          </w14:textFill>
        </w:rPr>
        <w:t>表</w:t>
      </w:r>
      <w:r>
        <w:rPr>
          <w:rFonts w:ascii="Times New Roman" w:hAnsi="Times New Roman" w:eastAsia="宋体" w:cs="Times New Roman"/>
          <w:bCs/>
          <w:color w:val="000000" w:themeColor="text1"/>
          <w:sz w:val="28"/>
          <w:szCs w:val="28"/>
          <w14:textFill>
            <w14:solidFill>
              <w14:schemeClr w14:val="tx1"/>
            </w14:solidFill>
          </w14:textFill>
        </w:rPr>
        <w:t xml:space="preserve">6 </w:t>
      </w:r>
      <w:r>
        <w:rPr>
          <w:rFonts w:hint="eastAsia" w:ascii="Times New Roman" w:hAnsi="Times New Roman" w:eastAsia="宋体" w:cs="Times New Roman"/>
          <w:bCs/>
          <w:color w:val="000000" w:themeColor="text1"/>
          <w:sz w:val="28"/>
          <w:szCs w:val="28"/>
          <w14:textFill>
            <w14:solidFill>
              <w14:schemeClr w14:val="tx1"/>
            </w14:solidFill>
          </w14:textFill>
        </w:rPr>
        <w:t>不同区域苜蓿主要蓟马抗性级别验证</w:t>
      </w:r>
    </w:p>
    <w:tbl>
      <w:tblPr>
        <w:tblStyle w:val="17"/>
        <w:tblW w:w="7798" w:type="dxa"/>
        <w:jc w:val="center"/>
        <w:tblLayout w:type="autofit"/>
        <w:tblCellMar>
          <w:top w:w="0" w:type="dxa"/>
          <w:left w:w="108" w:type="dxa"/>
          <w:bottom w:w="0" w:type="dxa"/>
          <w:right w:w="108" w:type="dxa"/>
        </w:tblCellMar>
      </w:tblPr>
      <w:tblGrid>
        <w:gridCol w:w="1110"/>
        <w:gridCol w:w="1114"/>
        <w:gridCol w:w="1117"/>
        <w:gridCol w:w="1114"/>
        <w:gridCol w:w="1114"/>
        <w:gridCol w:w="1114"/>
        <w:gridCol w:w="1115"/>
      </w:tblGrid>
      <w:tr>
        <w:tblPrEx>
          <w:tblCellMar>
            <w:top w:w="0" w:type="dxa"/>
            <w:left w:w="108" w:type="dxa"/>
            <w:bottom w:w="0" w:type="dxa"/>
            <w:right w:w="108" w:type="dxa"/>
          </w:tblCellMar>
        </w:tblPrEx>
        <w:trPr>
          <w:trHeight w:val="250" w:hRule="atLeast"/>
          <w:jc w:val="center"/>
        </w:trPr>
        <w:tc>
          <w:tcPr>
            <w:tcW w:w="111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地区</w:t>
            </w:r>
          </w:p>
        </w:tc>
        <w:tc>
          <w:tcPr>
            <w:tcW w:w="6688" w:type="dxa"/>
            <w:gridSpan w:val="6"/>
            <w:tcBorders>
              <w:top w:val="single" w:color="000000" w:sz="8" w:space="0"/>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各抗性级别比例（%）</w:t>
            </w:r>
          </w:p>
        </w:tc>
      </w:tr>
      <w:tr>
        <w:tblPrEx>
          <w:tblCellMar>
            <w:top w:w="0" w:type="dxa"/>
            <w:left w:w="108" w:type="dxa"/>
            <w:bottom w:w="0" w:type="dxa"/>
            <w:right w:w="108" w:type="dxa"/>
          </w:tblCellMar>
        </w:tblPrEx>
        <w:trPr>
          <w:trHeight w:val="488" w:hRule="atLeast"/>
          <w:jc w:val="center"/>
        </w:trPr>
        <w:tc>
          <w:tcPr>
            <w:tcW w:w="1110" w:type="dxa"/>
            <w:vMerge w:val="continue"/>
            <w:tcBorders>
              <w:top w:val="single" w:color="000000" w:sz="8" w:space="0"/>
              <w:left w:val="single" w:color="000000" w:sz="8" w:space="0"/>
              <w:bottom w:val="single" w:color="000000" w:sz="8" w:space="0"/>
              <w:right w:val="single" w:color="000000" w:sz="8" w:space="0"/>
            </w:tcBorders>
            <w:vAlign w:val="center"/>
          </w:tcPr>
          <w:p>
            <w:pPr>
              <w:widowControl/>
              <w:jc w:val="left"/>
              <w:rPr>
                <w:rFonts w:ascii="Times New Roman" w:hAnsi="Times New Roman" w:eastAsia="宋体" w:cs="Times New Roman"/>
                <w:b/>
                <w:bCs/>
                <w:color w:val="000000"/>
                <w:kern w:val="0"/>
                <w:szCs w:val="21"/>
              </w:rPr>
            </w:pP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高抗</w:t>
            </w:r>
          </w:p>
        </w:tc>
        <w:tc>
          <w:tcPr>
            <w:tcW w:w="1117"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中抗</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低抗</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低感</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中感</w:t>
            </w:r>
          </w:p>
        </w:tc>
        <w:tc>
          <w:tcPr>
            <w:tcW w:w="1115"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高感</w:t>
            </w:r>
          </w:p>
        </w:tc>
      </w:tr>
      <w:tr>
        <w:tblPrEx>
          <w:tblCellMar>
            <w:top w:w="0" w:type="dxa"/>
            <w:left w:w="108" w:type="dxa"/>
            <w:bottom w:w="0" w:type="dxa"/>
            <w:right w:w="108" w:type="dxa"/>
          </w:tblCellMar>
        </w:tblPrEx>
        <w:trPr>
          <w:trHeight w:val="250" w:hRule="atLeast"/>
          <w:jc w:val="center"/>
        </w:trPr>
        <w:tc>
          <w:tcPr>
            <w:tcW w:w="1110"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河北</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16.6</w:t>
            </w:r>
          </w:p>
        </w:tc>
        <w:tc>
          <w:tcPr>
            <w:tcW w:w="1117"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10</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13.3</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23.3</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10</w:t>
            </w:r>
          </w:p>
        </w:tc>
        <w:tc>
          <w:tcPr>
            <w:tcW w:w="1115"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26.6</w:t>
            </w:r>
          </w:p>
        </w:tc>
      </w:tr>
      <w:tr>
        <w:tblPrEx>
          <w:tblCellMar>
            <w:top w:w="0" w:type="dxa"/>
            <w:left w:w="108" w:type="dxa"/>
            <w:bottom w:w="0" w:type="dxa"/>
            <w:right w:w="108" w:type="dxa"/>
          </w:tblCellMar>
        </w:tblPrEx>
        <w:trPr>
          <w:trHeight w:val="250" w:hRule="atLeast"/>
          <w:jc w:val="center"/>
        </w:trPr>
        <w:tc>
          <w:tcPr>
            <w:tcW w:w="1110"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内蒙古</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3.3</w:t>
            </w:r>
          </w:p>
        </w:tc>
        <w:tc>
          <w:tcPr>
            <w:tcW w:w="1117"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3.3</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30</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33.3</w:t>
            </w:r>
          </w:p>
        </w:tc>
        <w:tc>
          <w:tcPr>
            <w:tcW w:w="1115"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10</w:t>
            </w:r>
          </w:p>
        </w:tc>
      </w:tr>
      <w:tr>
        <w:tblPrEx>
          <w:tblCellMar>
            <w:top w:w="0" w:type="dxa"/>
            <w:left w:w="108" w:type="dxa"/>
            <w:bottom w:w="0" w:type="dxa"/>
            <w:right w:w="108" w:type="dxa"/>
          </w:tblCellMar>
        </w:tblPrEx>
        <w:trPr>
          <w:trHeight w:val="250" w:hRule="atLeast"/>
          <w:jc w:val="center"/>
        </w:trPr>
        <w:tc>
          <w:tcPr>
            <w:tcW w:w="1110"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云南</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3.3</w:t>
            </w:r>
          </w:p>
        </w:tc>
        <w:tc>
          <w:tcPr>
            <w:tcW w:w="1117"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3.3</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36.6</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33.3</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20</w:t>
            </w:r>
          </w:p>
        </w:tc>
        <w:tc>
          <w:tcPr>
            <w:tcW w:w="1115"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3.3</w:t>
            </w:r>
          </w:p>
        </w:tc>
      </w:tr>
      <w:tr>
        <w:tblPrEx>
          <w:tblCellMar>
            <w:top w:w="0" w:type="dxa"/>
            <w:left w:w="108" w:type="dxa"/>
            <w:bottom w:w="0" w:type="dxa"/>
            <w:right w:w="108" w:type="dxa"/>
          </w:tblCellMar>
        </w:tblPrEx>
        <w:trPr>
          <w:trHeight w:val="250" w:hRule="atLeast"/>
          <w:jc w:val="center"/>
        </w:trPr>
        <w:tc>
          <w:tcPr>
            <w:tcW w:w="1110"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宁夏</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c>
          <w:tcPr>
            <w:tcW w:w="1117"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6.6</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30</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56.6</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6.6</w:t>
            </w:r>
          </w:p>
        </w:tc>
        <w:tc>
          <w:tcPr>
            <w:tcW w:w="1115"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w:t>
            </w:r>
          </w:p>
        </w:tc>
      </w:tr>
      <w:tr>
        <w:tblPrEx>
          <w:tblCellMar>
            <w:top w:w="0" w:type="dxa"/>
            <w:left w:w="108" w:type="dxa"/>
            <w:bottom w:w="0" w:type="dxa"/>
            <w:right w:w="108" w:type="dxa"/>
          </w:tblCellMar>
        </w:tblPrEx>
        <w:trPr>
          <w:trHeight w:val="250" w:hRule="atLeast"/>
          <w:jc w:val="center"/>
        </w:trPr>
        <w:tc>
          <w:tcPr>
            <w:tcW w:w="1110" w:type="dxa"/>
            <w:tcBorders>
              <w:top w:val="nil"/>
              <w:left w:val="single" w:color="000000" w:sz="8" w:space="0"/>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新疆</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6.6</w:t>
            </w:r>
          </w:p>
        </w:tc>
        <w:tc>
          <w:tcPr>
            <w:tcW w:w="1117"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3.3</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33.3</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46.6</w:t>
            </w:r>
          </w:p>
        </w:tc>
        <w:tc>
          <w:tcPr>
            <w:tcW w:w="1114"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6.6</w:t>
            </w:r>
          </w:p>
        </w:tc>
        <w:tc>
          <w:tcPr>
            <w:tcW w:w="1115" w:type="dxa"/>
            <w:tcBorders>
              <w:top w:val="nil"/>
              <w:left w:val="nil"/>
              <w:bottom w:val="single" w:color="000000" w:sz="8" w:space="0"/>
              <w:right w:val="single" w:color="000000" w:sz="8" w:space="0"/>
            </w:tcBorders>
            <w:shd w:val="clear" w:color="auto" w:fill="auto"/>
            <w:vAlign w:val="center"/>
          </w:tcPr>
          <w:p>
            <w:pPr>
              <w:widowControl/>
              <w:jc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3.3</w:t>
            </w:r>
          </w:p>
        </w:tc>
      </w:tr>
    </w:tbl>
    <w:p>
      <w:pPr>
        <w:pStyle w:val="15"/>
      </w:pPr>
    </w:p>
    <w:p>
      <w:pPr>
        <w:pStyle w:val="4"/>
        <w:spacing w:before="0" w:after="0" w:line="360" w:lineRule="auto"/>
        <w:ind w:firstLine="562" w:firstLineChars="200"/>
        <w:rPr>
          <w:rFonts w:ascii="Times New Roman" w:hAnsi="Times New Roman" w:eastAsia="宋体" w:cs="Times New Roman"/>
          <w:sz w:val="28"/>
          <w:szCs w:val="28"/>
        </w:rPr>
      </w:pPr>
      <w:r>
        <w:rPr>
          <w:rFonts w:ascii="Times New Roman" w:hAnsi="Times New Roman" w:eastAsia="宋体" w:cs="Times New Roman"/>
          <w:sz w:val="28"/>
          <w:szCs w:val="28"/>
        </w:rPr>
        <w:t>6.证实方法</w:t>
      </w:r>
      <w:bookmarkEnd w:id="88"/>
      <w:bookmarkEnd w:id="89"/>
      <w:bookmarkEnd w:id="90"/>
      <w:bookmarkEnd w:id="91"/>
      <w:bookmarkEnd w:id="92"/>
    </w:p>
    <w:p>
      <w:pPr>
        <w:spacing w:line="360" w:lineRule="auto"/>
        <w:ind w:firstLine="562" w:firstLineChars="200"/>
        <w:rPr>
          <w:rFonts w:ascii="Times New Roman" w:hAnsi="Times New Roman" w:eastAsia="宋体" w:cs="Times New Roman"/>
          <w:b/>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标准内容：</w:t>
      </w:r>
    </w:p>
    <w:p>
      <w:pPr>
        <w:spacing w:line="360" w:lineRule="auto"/>
        <w:ind w:firstLine="560"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Cs/>
          <w:color w:val="000000" w:themeColor="text1"/>
          <w:sz w:val="28"/>
          <w:szCs w:val="28"/>
          <w14:textFill>
            <w14:solidFill>
              <w14:schemeClr w14:val="tx1"/>
            </w14:solidFill>
          </w14:textFill>
        </w:rPr>
        <w:t>苜蓿主要蓟马抗性评价过程中应形成记录。在蓟马调查过程中应记录调查人、调查时间、调查地点、温湿度、海拔、当年苜蓿茬数等基本信息，记录调查编号、苜蓿品种名称、调查枝条数量、蓟马数量等调查信息，苜蓿主要蓟马抗性田间调查记录表见附录</w:t>
      </w:r>
      <w:r>
        <w:rPr>
          <w:rFonts w:ascii="Times New Roman" w:hAnsi="Times New Roman" w:eastAsia="宋体" w:cs="Times New Roman"/>
          <w:bCs/>
          <w:color w:val="000000" w:themeColor="text1"/>
          <w:sz w:val="28"/>
          <w:szCs w:val="28"/>
          <w14:textFill>
            <w14:solidFill>
              <w14:schemeClr w14:val="tx1"/>
            </w14:solidFill>
          </w14:textFill>
        </w:rPr>
        <w:t>C。</w:t>
      </w:r>
    </w:p>
    <w:p>
      <w:p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理由及依据：</w:t>
      </w:r>
      <w:r>
        <w:rPr>
          <w:rFonts w:hint="eastAsia" w:ascii="Times New Roman" w:hAnsi="Times New Roman" w:eastAsia="宋体" w:cs="Times New Roman"/>
          <w:bCs/>
          <w:color w:val="000000" w:themeColor="text1"/>
          <w:sz w:val="28"/>
          <w:szCs w:val="28"/>
          <w14:textFill>
            <w14:solidFill>
              <w14:schemeClr w14:val="tx1"/>
            </w14:solidFill>
          </w14:textFill>
        </w:rPr>
        <w:t>在苜蓿主要蓟马评价过程中，为避免出现差错，各类数据应形成记录。</w:t>
      </w:r>
    </w:p>
    <w:p>
      <w:pPr>
        <w:pStyle w:val="4"/>
        <w:spacing w:before="0" w:after="0" w:line="360" w:lineRule="auto"/>
        <w:ind w:firstLine="562" w:firstLineChars="200"/>
        <w:rPr>
          <w:rFonts w:ascii="Times New Roman" w:hAnsi="Times New Roman" w:eastAsia="宋体" w:cs="Times New Roman"/>
          <w:sz w:val="28"/>
          <w:szCs w:val="28"/>
        </w:rPr>
      </w:pPr>
      <w:bookmarkStart w:id="93" w:name="_Toc942"/>
      <w:bookmarkStart w:id="94" w:name="_Toc19383"/>
      <w:bookmarkStart w:id="95" w:name="_Toc10735"/>
      <w:bookmarkStart w:id="96" w:name="_Toc17848"/>
      <w:bookmarkStart w:id="97" w:name="_Toc26920"/>
      <w:r>
        <w:rPr>
          <w:rFonts w:ascii="Times New Roman" w:hAnsi="Times New Roman" w:eastAsia="宋体" w:cs="Times New Roman"/>
          <w:sz w:val="28"/>
          <w:szCs w:val="28"/>
        </w:rPr>
        <w:t>7.附录A</w:t>
      </w:r>
      <w:bookmarkEnd w:id="93"/>
      <w:bookmarkEnd w:id="94"/>
      <w:bookmarkEnd w:id="95"/>
      <w:bookmarkEnd w:id="96"/>
      <w:bookmarkEnd w:id="97"/>
    </w:p>
    <w:p>
      <w:p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标准</w:t>
      </w:r>
      <w:r>
        <w:rPr>
          <w:rFonts w:ascii="Times New Roman" w:hAnsi="Times New Roman" w:eastAsia="宋体" w:cs="Times New Roman"/>
          <w:b/>
          <w:color w:val="000000" w:themeColor="text1"/>
          <w:sz w:val="28"/>
          <w:szCs w:val="28"/>
          <w14:textFill>
            <w14:solidFill>
              <w14:schemeClr w14:val="tx1"/>
            </w14:solidFill>
          </w14:textFill>
        </w:rPr>
        <w:t>内容</w:t>
      </w:r>
      <w:r>
        <w:rPr>
          <w:rFonts w:hint="eastAsia" w:ascii="Times New Roman" w:hAnsi="Times New Roman" w:eastAsia="宋体" w:cs="Times New Roman"/>
          <w:b/>
          <w:color w:val="000000" w:themeColor="text1"/>
          <w:sz w:val="28"/>
          <w:szCs w:val="28"/>
          <w14:textFill>
            <w14:solidFill>
              <w14:schemeClr w14:val="tx1"/>
            </w14:solidFill>
          </w14:textFill>
        </w:rPr>
        <w:t>:见</w:t>
      </w:r>
      <w:r>
        <w:rPr>
          <w:rFonts w:ascii="Times New Roman" w:hAnsi="Times New Roman" w:eastAsia="宋体" w:cs="Times New Roman"/>
          <w:b/>
          <w:color w:val="000000" w:themeColor="text1"/>
          <w:sz w:val="28"/>
          <w:szCs w:val="28"/>
          <w14:textFill>
            <w14:solidFill>
              <w14:schemeClr w14:val="tx1"/>
            </w14:solidFill>
          </w14:textFill>
        </w:rPr>
        <w:t>标准文本</w:t>
      </w:r>
    </w:p>
    <w:p>
      <w:pPr>
        <w:spacing w:line="360" w:lineRule="auto"/>
        <w:ind w:firstLine="562"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理由及依据：</w:t>
      </w:r>
      <w:r>
        <w:rPr>
          <w:rFonts w:hint="eastAsia" w:ascii="Times New Roman" w:hAnsi="Times New Roman" w:eastAsia="宋体" w:cs="Times New Roman"/>
          <w:bCs/>
          <w:color w:val="000000" w:themeColor="text1"/>
          <w:sz w:val="28"/>
          <w:szCs w:val="28"/>
          <w14:textFill>
            <w14:solidFill>
              <w14:schemeClr w14:val="tx1"/>
            </w14:solidFill>
          </w14:textFill>
        </w:rPr>
        <w:t>苜蓿田主要蓟马种类形态特征描述主要参考：</w:t>
      </w:r>
      <w:r>
        <w:rPr>
          <w:rFonts w:ascii="Times New Roman" w:hAnsi="Times New Roman" w:eastAsia="宋体" w:cs="Times New Roman"/>
          <w:bCs/>
          <w:color w:val="000000" w:themeColor="text1"/>
          <w:sz w:val="28"/>
          <w:szCs w:val="28"/>
          <w14:textFill>
            <w14:solidFill>
              <w14:schemeClr w14:val="tx1"/>
            </w14:solidFill>
          </w14:textFill>
        </w:rPr>
        <w:t>张泽华，李彦忠，涂雄兵等</w:t>
      </w:r>
      <w:r>
        <w:rPr>
          <w:rFonts w:hint="eastAsia" w:ascii="Times New Roman" w:hAnsi="Times New Roman" w:eastAsia="宋体" w:cs="Times New Roman"/>
          <w:bCs/>
          <w:color w:val="000000" w:themeColor="text1"/>
          <w:sz w:val="28"/>
          <w:szCs w:val="28"/>
          <w14:textFill>
            <w14:solidFill>
              <w14:schemeClr w14:val="tx1"/>
            </w14:solidFill>
          </w14:textFill>
        </w:rPr>
        <w:t>，</w:t>
      </w:r>
      <w:r>
        <w:rPr>
          <w:rFonts w:ascii="Times New Roman" w:hAnsi="Times New Roman" w:eastAsia="宋体" w:cs="Times New Roman"/>
          <w:bCs/>
          <w:color w:val="000000" w:themeColor="text1"/>
          <w:sz w:val="28"/>
          <w:szCs w:val="28"/>
          <w14:textFill>
            <w14:solidFill>
              <w14:schemeClr w14:val="tx1"/>
            </w14:solidFill>
          </w14:textFill>
        </w:rPr>
        <w:t>苜蓿病虫害识别与防治[M]</w:t>
      </w:r>
      <w:r>
        <w:rPr>
          <w:rFonts w:hint="eastAsia" w:ascii="Times New Roman" w:hAnsi="Times New Roman" w:eastAsia="宋体" w:cs="Times New Roman"/>
          <w:bCs/>
          <w:color w:val="000000" w:themeColor="text1"/>
          <w:sz w:val="28"/>
          <w:szCs w:val="28"/>
          <w14:textFill>
            <w14:solidFill>
              <w14:schemeClr w14:val="tx1"/>
            </w14:solidFill>
          </w14:textFill>
        </w:rPr>
        <w:t>，</w:t>
      </w:r>
      <w:r>
        <w:rPr>
          <w:rFonts w:ascii="Times New Roman" w:hAnsi="Times New Roman" w:eastAsia="宋体" w:cs="Times New Roman"/>
          <w:bCs/>
          <w:color w:val="000000" w:themeColor="text1"/>
          <w:sz w:val="28"/>
          <w:szCs w:val="28"/>
          <w14:textFill>
            <w14:solidFill>
              <w14:schemeClr w14:val="tx1"/>
            </w14:solidFill>
          </w14:textFill>
        </w:rPr>
        <w:t>中国农业科学技术出版社</w:t>
      </w:r>
      <w:r>
        <w:rPr>
          <w:rFonts w:hint="eastAsia" w:ascii="Times New Roman" w:hAnsi="Times New Roman" w:eastAsia="宋体" w:cs="Times New Roman"/>
          <w:bCs/>
          <w:color w:val="000000" w:themeColor="text1"/>
          <w:sz w:val="28"/>
          <w:szCs w:val="28"/>
          <w14:textFill>
            <w14:solidFill>
              <w14:schemeClr w14:val="tx1"/>
            </w14:solidFill>
          </w14:textFill>
        </w:rPr>
        <w:t>，</w:t>
      </w:r>
      <w:r>
        <w:rPr>
          <w:rFonts w:ascii="Times New Roman" w:hAnsi="Times New Roman" w:eastAsia="宋体" w:cs="Times New Roman"/>
          <w:bCs/>
          <w:color w:val="000000" w:themeColor="text1"/>
          <w:sz w:val="28"/>
          <w:szCs w:val="28"/>
          <w14:textFill>
            <w14:solidFill>
              <w14:schemeClr w14:val="tx1"/>
            </w14:solidFill>
          </w14:textFill>
        </w:rPr>
        <w:t xml:space="preserve"> 2018</w:t>
      </w:r>
      <w:r>
        <w:rPr>
          <w:rFonts w:hint="eastAsia" w:ascii="Times New Roman" w:hAnsi="Times New Roman" w:eastAsia="宋体" w:cs="Times New Roman"/>
          <w:bCs/>
          <w:color w:val="000000" w:themeColor="text1"/>
          <w:sz w:val="28"/>
          <w:szCs w:val="28"/>
          <w14:textFill>
            <w14:solidFill>
              <w14:schemeClr w14:val="tx1"/>
            </w14:solidFill>
          </w14:textFill>
        </w:rPr>
        <w:t>。</w:t>
      </w:r>
    </w:p>
    <w:p>
      <w:pPr>
        <w:pStyle w:val="4"/>
        <w:spacing w:before="0" w:after="0" w:line="360" w:lineRule="auto"/>
        <w:ind w:firstLine="562" w:firstLineChars="200"/>
        <w:rPr>
          <w:rFonts w:ascii="Times New Roman" w:hAnsi="Times New Roman" w:eastAsia="宋体" w:cs="Times New Roman"/>
          <w:sz w:val="28"/>
          <w:szCs w:val="28"/>
        </w:rPr>
      </w:pPr>
      <w:bookmarkStart w:id="98" w:name="_Toc7149"/>
      <w:bookmarkStart w:id="99" w:name="_Toc18239"/>
      <w:bookmarkStart w:id="100" w:name="_Toc27113"/>
      <w:bookmarkStart w:id="101" w:name="_Toc24329"/>
      <w:bookmarkStart w:id="102" w:name="_Toc26958"/>
      <w:r>
        <w:rPr>
          <w:rFonts w:ascii="Times New Roman" w:hAnsi="Times New Roman" w:eastAsia="宋体" w:cs="Times New Roman"/>
          <w:sz w:val="28"/>
          <w:szCs w:val="28"/>
        </w:rPr>
        <w:t>8.附录B</w:t>
      </w:r>
      <w:bookmarkEnd w:id="98"/>
      <w:bookmarkEnd w:id="99"/>
      <w:bookmarkEnd w:id="100"/>
      <w:bookmarkEnd w:id="101"/>
      <w:bookmarkEnd w:id="102"/>
    </w:p>
    <w:p>
      <w:pPr>
        <w:spacing w:line="360" w:lineRule="auto"/>
        <w:ind w:firstLine="562" w:firstLineChars="200"/>
        <w:rPr>
          <w:rFonts w:ascii="Times New Roman" w:hAnsi="Times New Roman" w:eastAsia="宋体" w:cs="Times New Roman"/>
          <w:b/>
          <w:color w:val="000000" w:themeColor="text1"/>
          <w:sz w:val="28"/>
          <w:szCs w:val="28"/>
          <w14:textFill>
            <w14:solidFill>
              <w14:schemeClr w14:val="tx1"/>
            </w14:solidFill>
          </w14:textFill>
        </w:rPr>
      </w:pPr>
      <w:r>
        <w:rPr>
          <w:rFonts w:hint="eastAsia" w:ascii="Times New Roman" w:hAnsi="Times New Roman" w:eastAsia="宋体" w:cs="Times New Roman"/>
          <w:b/>
          <w:color w:val="000000" w:themeColor="text1"/>
          <w:sz w:val="28"/>
          <w:szCs w:val="28"/>
          <w14:textFill>
            <w14:solidFill>
              <w14:schemeClr w14:val="tx1"/>
            </w14:solidFill>
          </w14:textFill>
        </w:rPr>
        <w:t>标准</w:t>
      </w:r>
      <w:r>
        <w:rPr>
          <w:rFonts w:ascii="Times New Roman" w:hAnsi="Times New Roman" w:eastAsia="宋体" w:cs="Times New Roman"/>
          <w:b/>
          <w:color w:val="000000" w:themeColor="text1"/>
          <w:sz w:val="28"/>
          <w:szCs w:val="28"/>
          <w14:textFill>
            <w14:solidFill>
              <w14:schemeClr w14:val="tx1"/>
            </w14:solidFill>
          </w14:textFill>
        </w:rPr>
        <w:t>内容</w:t>
      </w:r>
      <w:r>
        <w:rPr>
          <w:rFonts w:hint="eastAsia" w:ascii="Times New Roman" w:hAnsi="Times New Roman" w:eastAsia="宋体" w:cs="Times New Roman"/>
          <w:b/>
          <w:color w:val="000000" w:themeColor="text1"/>
          <w:sz w:val="28"/>
          <w:szCs w:val="28"/>
          <w14:textFill>
            <w14:solidFill>
              <w14:schemeClr w14:val="tx1"/>
            </w14:solidFill>
          </w14:textFill>
        </w:rPr>
        <w:t>:见</w:t>
      </w:r>
      <w:r>
        <w:rPr>
          <w:rFonts w:ascii="Times New Roman" w:hAnsi="Times New Roman" w:eastAsia="宋体" w:cs="Times New Roman"/>
          <w:b/>
          <w:color w:val="000000" w:themeColor="text1"/>
          <w:sz w:val="28"/>
          <w:szCs w:val="28"/>
          <w14:textFill>
            <w14:solidFill>
              <w14:schemeClr w14:val="tx1"/>
            </w14:solidFill>
          </w14:textFill>
        </w:rPr>
        <w:t>标准文本</w:t>
      </w:r>
    </w:p>
    <w:p>
      <w:pPr>
        <w:spacing w:line="360" w:lineRule="auto"/>
        <w:ind w:firstLine="562" w:firstLineChars="200"/>
        <w:rPr>
          <w:rFonts w:ascii="Times New Roman" w:hAnsi="Times New Roman" w:eastAsia="宋体" w:cs="Times New Roman"/>
          <w:bCs/>
          <w:color w:val="000000" w:themeColor="text1"/>
          <w:sz w:val="28"/>
          <w:szCs w:val="28"/>
          <w14:textFill>
            <w14:solidFill>
              <w14:schemeClr w14:val="tx1"/>
            </w14:solidFill>
          </w14:textFill>
        </w:rPr>
      </w:pPr>
      <w:r>
        <w:rPr>
          <w:rFonts w:hint="eastAsia" w:ascii="Times New Roman" w:hAnsi="Times New Roman" w:eastAsia="宋体" w:cs="Times New Roman"/>
          <w:b/>
          <w:bCs/>
          <w:color w:val="000000" w:themeColor="text1"/>
          <w:sz w:val="28"/>
          <w:szCs w:val="28"/>
          <w14:textFill>
            <w14:solidFill>
              <w14:schemeClr w14:val="tx1"/>
            </w14:solidFill>
          </w14:textFill>
        </w:rPr>
        <w:t>理</w:t>
      </w:r>
      <w:r>
        <w:rPr>
          <w:rFonts w:ascii="Times New Roman" w:hAnsi="Times New Roman" w:eastAsia="宋体" w:cs="Times New Roman"/>
          <w:b/>
          <w:bCs/>
          <w:color w:val="000000" w:themeColor="text1"/>
          <w:sz w:val="28"/>
          <w:szCs w:val="28"/>
          <w14:textFill>
            <w14:solidFill>
              <w14:schemeClr w14:val="tx1"/>
            </w14:solidFill>
          </w14:textFill>
        </w:rPr>
        <w:t>由及依据：</w:t>
      </w:r>
      <w:r>
        <w:rPr>
          <w:rFonts w:hint="eastAsia" w:ascii="Times New Roman" w:hAnsi="Times New Roman" w:eastAsia="宋体" w:cs="Times New Roman"/>
          <w:bCs/>
          <w:color w:val="000000" w:themeColor="text1"/>
          <w:sz w:val="28"/>
          <w:szCs w:val="28"/>
          <w14:textFill>
            <w14:solidFill>
              <w14:schemeClr w14:val="tx1"/>
            </w14:solidFill>
          </w14:textFill>
        </w:rPr>
        <w:t>在苜蓿主要蓟马抗性评价过程中，对种植区域环境条件、种植情况、调查具体时间等信息进行记录，便于保证抗性评价的严谨准确。</w:t>
      </w:r>
    </w:p>
    <w:p>
      <w:pPr>
        <w:pStyle w:val="2"/>
        <w:spacing w:before="0" w:after="0" w:line="360" w:lineRule="auto"/>
        <w:ind w:firstLine="560"/>
        <w:rPr>
          <w:rFonts w:ascii="Times New Roman" w:hAnsi="Times New Roman" w:cs="Times New Roman"/>
          <w:sz w:val="28"/>
          <w:szCs w:val="28"/>
        </w:rPr>
      </w:pPr>
      <w:bookmarkStart w:id="103" w:name="_Toc28219"/>
      <w:bookmarkStart w:id="104" w:name="_Toc8231"/>
      <w:bookmarkStart w:id="105" w:name="_Toc8674"/>
      <w:bookmarkStart w:id="106" w:name="_Toc6965"/>
      <w:bookmarkStart w:id="107" w:name="_Toc14117"/>
      <w:bookmarkStart w:id="108" w:name="_Toc9146"/>
      <w:r>
        <w:rPr>
          <w:rFonts w:ascii="Times New Roman" w:hAnsi="Times New Roman" w:cs="Times New Roman"/>
          <w:sz w:val="28"/>
          <w:szCs w:val="28"/>
        </w:rPr>
        <w:t>四、采用国际标准</w:t>
      </w:r>
      <w:bookmarkEnd w:id="103"/>
      <w:bookmarkEnd w:id="104"/>
      <w:bookmarkEnd w:id="105"/>
      <w:bookmarkEnd w:id="106"/>
      <w:bookmarkEnd w:id="107"/>
      <w:bookmarkEnd w:id="108"/>
    </w:p>
    <w:p>
      <w:pPr>
        <w:spacing w:line="360" w:lineRule="auto"/>
        <w:ind w:firstLine="560" w:firstLineChars="200"/>
        <w:rPr>
          <w:rFonts w:ascii="Times New Roman" w:hAnsi="Times New Roman" w:eastAsia="宋体" w:cs="Times New Roman"/>
          <w:bCs/>
          <w:sz w:val="28"/>
          <w:szCs w:val="28"/>
        </w:rPr>
      </w:pPr>
      <w:r>
        <w:rPr>
          <w:rFonts w:hint="eastAsia" w:ascii="Times New Roman" w:hAnsi="Times New Roman" w:eastAsia="宋体" w:cs="Times New Roman"/>
          <w:bCs/>
          <w:sz w:val="28"/>
          <w:szCs w:val="28"/>
        </w:rPr>
        <w:t>经</w:t>
      </w:r>
      <w:r>
        <w:rPr>
          <w:rFonts w:ascii="Times New Roman" w:hAnsi="Times New Roman" w:eastAsia="宋体" w:cs="Times New Roman"/>
          <w:bCs/>
          <w:sz w:val="28"/>
          <w:szCs w:val="28"/>
        </w:rPr>
        <w:t>查，国际上没有同类</w:t>
      </w:r>
      <w:r>
        <w:rPr>
          <w:rFonts w:hint="eastAsia" w:ascii="Times New Roman" w:hAnsi="Times New Roman" w:eastAsia="宋体" w:cs="Times New Roman"/>
          <w:bCs/>
          <w:sz w:val="28"/>
          <w:szCs w:val="28"/>
        </w:rPr>
        <w:t>标准</w:t>
      </w:r>
      <w:r>
        <w:rPr>
          <w:rFonts w:ascii="Times New Roman" w:hAnsi="Times New Roman" w:eastAsia="宋体" w:cs="Times New Roman"/>
          <w:bCs/>
          <w:sz w:val="28"/>
          <w:szCs w:val="28"/>
        </w:rPr>
        <w:t>，</w:t>
      </w:r>
      <w:r>
        <w:rPr>
          <w:rFonts w:hint="eastAsia" w:ascii="Times New Roman" w:hAnsi="Times New Roman" w:eastAsia="宋体" w:cs="Times New Roman"/>
          <w:bCs/>
          <w:sz w:val="28"/>
          <w:szCs w:val="28"/>
        </w:rPr>
        <w:t>本</w:t>
      </w:r>
      <w:r>
        <w:rPr>
          <w:rFonts w:ascii="Times New Roman" w:hAnsi="Times New Roman" w:eastAsia="宋体" w:cs="Times New Roman"/>
          <w:bCs/>
          <w:sz w:val="28"/>
          <w:szCs w:val="28"/>
        </w:rPr>
        <w:t>标准</w:t>
      </w:r>
      <w:r>
        <w:rPr>
          <w:rFonts w:hint="eastAsia" w:ascii="Times New Roman" w:hAnsi="Times New Roman" w:eastAsia="宋体" w:cs="Times New Roman"/>
          <w:bCs/>
          <w:sz w:val="28"/>
          <w:szCs w:val="28"/>
        </w:rPr>
        <w:t>是</w:t>
      </w:r>
      <w:r>
        <w:rPr>
          <w:rFonts w:ascii="Times New Roman" w:hAnsi="Times New Roman" w:eastAsia="宋体" w:cs="Times New Roman"/>
          <w:bCs/>
          <w:sz w:val="28"/>
          <w:szCs w:val="28"/>
        </w:rPr>
        <w:t>基于国内研究总结编制，不存在采标问题。</w:t>
      </w:r>
    </w:p>
    <w:p>
      <w:pPr>
        <w:pStyle w:val="2"/>
        <w:spacing w:before="0" w:after="0" w:line="360" w:lineRule="auto"/>
        <w:ind w:firstLine="560"/>
        <w:rPr>
          <w:rFonts w:ascii="Times New Roman" w:hAnsi="Times New Roman" w:cs="Times New Roman"/>
          <w:sz w:val="28"/>
          <w:szCs w:val="28"/>
        </w:rPr>
      </w:pPr>
      <w:bookmarkStart w:id="109" w:name="_Toc886"/>
      <w:bookmarkStart w:id="110" w:name="_Toc22164"/>
      <w:bookmarkStart w:id="111" w:name="_Toc29343"/>
      <w:bookmarkStart w:id="112" w:name="_Toc28226"/>
      <w:bookmarkStart w:id="113" w:name="_Toc30400"/>
      <w:bookmarkStart w:id="114" w:name="_Toc22516"/>
      <w:r>
        <w:rPr>
          <w:rFonts w:ascii="Times New Roman" w:hAnsi="Times New Roman" w:cs="Times New Roman"/>
          <w:sz w:val="28"/>
          <w:szCs w:val="28"/>
        </w:rPr>
        <w:t>五、与现行法律法规和强制性标准的关系</w:t>
      </w:r>
      <w:bookmarkEnd w:id="109"/>
      <w:bookmarkEnd w:id="110"/>
      <w:bookmarkEnd w:id="111"/>
      <w:bookmarkEnd w:id="112"/>
      <w:bookmarkEnd w:id="113"/>
      <w:bookmarkEnd w:id="114"/>
    </w:p>
    <w:p>
      <w:pPr>
        <w:autoSpaceDE w:val="0"/>
        <w:autoSpaceDN w:val="0"/>
        <w:adjustRightInd w:val="0"/>
        <w:spacing w:line="360" w:lineRule="auto"/>
        <w:ind w:firstLine="560" w:firstLineChars="200"/>
        <w:jc w:val="left"/>
        <w:rPr>
          <w:rFonts w:ascii="Times New Roman" w:hAnsi="Times New Roman" w:eastAsia="宋体" w:cs="Times New Roman"/>
          <w:kern w:val="0"/>
          <w:sz w:val="28"/>
          <w:szCs w:val="28"/>
        </w:rPr>
      </w:pPr>
      <w:r>
        <w:rPr>
          <w:rFonts w:hint="eastAsia" w:ascii="Times New Roman" w:hAnsi="Times New Roman" w:eastAsia="宋体" w:cs="Times New Roman"/>
          <w:kern w:val="0"/>
          <w:sz w:val="28"/>
          <w:szCs w:val="28"/>
        </w:rPr>
        <w:t>在本标准制定过程中，查阅现有的法律法规以及强制性标准，本标准与现有的法律法规和强制性标准间没有冲突，并且能够与现有的法律法规和强制性标准一同促进本行业的健康和谐发展。</w:t>
      </w:r>
    </w:p>
    <w:p>
      <w:pPr>
        <w:pStyle w:val="2"/>
        <w:spacing w:before="0" w:after="0" w:line="360" w:lineRule="auto"/>
        <w:ind w:firstLine="560"/>
        <w:rPr>
          <w:rFonts w:ascii="Times New Roman" w:hAnsi="Times New Roman" w:cs="Times New Roman"/>
          <w:sz w:val="28"/>
          <w:szCs w:val="28"/>
        </w:rPr>
      </w:pPr>
      <w:bookmarkStart w:id="115" w:name="_Toc5177"/>
      <w:bookmarkStart w:id="116" w:name="_Toc2951"/>
      <w:bookmarkStart w:id="117" w:name="_Toc17647"/>
      <w:bookmarkStart w:id="118" w:name="_Toc31288"/>
      <w:bookmarkStart w:id="119" w:name="_Toc19245"/>
      <w:bookmarkStart w:id="120" w:name="_Toc31585"/>
      <w:r>
        <w:rPr>
          <w:rFonts w:ascii="Times New Roman" w:hAnsi="Times New Roman" w:cs="Times New Roman"/>
          <w:sz w:val="28"/>
          <w:szCs w:val="28"/>
        </w:rPr>
        <w:t>六、重大分歧意见的处理经过和依据</w:t>
      </w:r>
      <w:bookmarkEnd w:id="115"/>
      <w:bookmarkEnd w:id="116"/>
      <w:bookmarkEnd w:id="117"/>
      <w:bookmarkEnd w:id="118"/>
      <w:bookmarkEnd w:id="119"/>
      <w:bookmarkEnd w:id="120"/>
    </w:p>
    <w:p>
      <w:pPr>
        <w:spacing w:line="360" w:lineRule="auto"/>
        <w:ind w:firstLine="560" w:firstLineChars="200"/>
        <w:rPr>
          <w:rFonts w:ascii="Times New Roman" w:hAnsi="Times New Roman" w:eastAsia="宋体" w:cs="Times New Roman"/>
          <w:bCs/>
          <w:sz w:val="28"/>
          <w:szCs w:val="28"/>
        </w:rPr>
      </w:pPr>
      <w:r>
        <w:rPr>
          <w:rFonts w:hint="eastAsia" w:ascii="Times New Roman" w:hAnsi="Times New Roman" w:eastAsia="宋体" w:cs="Times New Roman"/>
          <w:bCs/>
          <w:sz w:val="28"/>
          <w:szCs w:val="28"/>
        </w:rPr>
        <w:t>本标准在制定过程中无重大分歧意见。</w:t>
      </w:r>
    </w:p>
    <w:p>
      <w:pPr>
        <w:pStyle w:val="2"/>
        <w:spacing w:before="0" w:after="0" w:line="360" w:lineRule="auto"/>
        <w:ind w:firstLine="560"/>
        <w:rPr>
          <w:rFonts w:ascii="Times New Roman" w:hAnsi="Times New Roman" w:cs="Times New Roman"/>
          <w:sz w:val="28"/>
          <w:szCs w:val="28"/>
        </w:rPr>
      </w:pPr>
      <w:bookmarkStart w:id="121" w:name="_Toc21056"/>
      <w:bookmarkStart w:id="122" w:name="_Toc548"/>
      <w:bookmarkStart w:id="123" w:name="_Toc29736"/>
      <w:bookmarkStart w:id="124" w:name="_Toc17098"/>
      <w:bookmarkStart w:id="125" w:name="_Toc9597"/>
      <w:bookmarkStart w:id="126" w:name="_Toc5373"/>
      <w:r>
        <w:rPr>
          <w:rFonts w:ascii="Times New Roman" w:hAnsi="Times New Roman" w:cs="Times New Roman"/>
          <w:sz w:val="28"/>
          <w:szCs w:val="28"/>
        </w:rPr>
        <w:t>七、标准作为强制性或推荐性标准的意见</w:t>
      </w:r>
      <w:bookmarkEnd w:id="121"/>
      <w:bookmarkEnd w:id="122"/>
      <w:bookmarkEnd w:id="123"/>
      <w:bookmarkEnd w:id="124"/>
      <w:bookmarkEnd w:id="125"/>
      <w:bookmarkEnd w:id="126"/>
    </w:p>
    <w:p>
      <w:pPr>
        <w:spacing w:line="360" w:lineRule="auto"/>
        <w:ind w:firstLine="560" w:firstLineChars="200"/>
        <w:rPr>
          <w:rFonts w:ascii="Times New Roman" w:hAnsi="Times New Roman" w:eastAsia="宋体" w:cs="Times New Roman"/>
          <w:b/>
          <w:sz w:val="28"/>
          <w:szCs w:val="28"/>
        </w:rPr>
      </w:pPr>
      <w:r>
        <w:rPr>
          <w:rFonts w:hint="eastAsia" w:ascii="Times New Roman" w:hAnsi="Times New Roman" w:eastAsia="宋体" w:cs="Times New Roman"/>
          <w:sz w:val="28"/>
          <w:szCs w:val="28"/>
        </w:rPr>
        <w:t>本标准不涉及有关国家安全、保护人体健康和人身财产安全、环境质量要求等有关强制性地方标准或强制性条文之一。我国标准化法第二章第十二条</w:t>
      </w:r>
      <w:r>
        <w:rPr>
          <w:rFonts w:hint="eastAsia" w:ascii="Times New Roman" w:hAnsi="Times New Roman" w:eastAsia="宋体" w:cs="Times New Roman"/>
          <w:color w:val="000000" w:themeColor="text1"/>
          <w:sz w:val="28"/>
          <w:szCs w:val="28"/>
          <w14:textFill>
            <w14:solidFill>
              <w14:schemeClr w14:val="tx1"/>
            </w14:solidFill>
          </w14:textFill>
        </w:rPr>
        <w:t>规定，对没有推荐性国家标准、需要在全国某个行业范围内统一的技术要求，可以制定行业标准。因此，</w:t>
      </w:r>
      <w:r>
        <w:rPr>
          <w:rFonts w:hint="eastAsia" w:ascii="Times New Roman" w:hAnsi="Times New Roman" w:eastAsia="宋体" w:cs="Times New Roman"/>
          <w:sz w:val="28"/>
          <w:szCs w:val="28"/>
        </w:rPr>
        <w:t>建议本标准作为农业行业标准发布。</w:t>
      </w:r>
    </w:p>
    <w:p>
      <w:pPr>
        <w:pStyle w:val="2"/>
        <w:spacing w:before="0" w:after="0" w:line="360" w:lineRule="auto"/>
        <w:ind w:firstLine="560"/>
        <w:rPr>
          <w:rFonts w:ascii="Times New Roman" w:hAnsi="Times New Roman" w:cs="Times New Roman"/>
          <w:sz w:val="28"/>
          <w:szCs w:val="28"/>
        </w:rPr>
      </w:pPr>
      <w:bookmarkStart w:id="127" w:name="_Toc8561"/>
      <w:bookmarkStart w:id="128" w:name="_Toc17484"/>
      <w:bookmarkStart w:id="129" w:name="_Toc10767"/>
      <w:bookmarkStart w:id="130" w:name="_Toc25257"/>
      <w:bookmarkStart w:id="131" w:name="_Toc22380"/>
      <w:bookmarkStart w:id="132" w:name="_Toc28837"/>
      <w:r>
        <w:rPr>
          <w:rFonts w:ascii="Times New Roman" w:hAnsi="Times New Roman" w:cs="Times New Roman"/>
          <w:sz w:val="28"/>
          <w:szCs w:val="28"/>
        </w:rPr>
        <w:t>八、贯彻标准的要求和措施建议</w:t>
      </w:r>
      <w:bookmarkEnd w:id="127"/>
      <w:bookmarkEnd w:id="128"/>
      <w:bookmarkEnd w:id="129"/>
      <w:bookmarkEnd w:id="130"/>
      <w:bookmarkEnd w:id="131"/>
      <w:bookmarkEnd w:id="132"/>
    </w:p>
    <w:p>
      <w:pPr>
        <w:spacing w:line="360" w:lineRule="auto"/>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一是通过互联网、新闻媒体等途径加大对本标准宣贯力度，推进牧草产业进一步发展。</w:t>
      </w:r>
    </w:p>
    <w:p>
      <w:pPr>
        <w:spacing w:line="360" w:lineRule="auto"/>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二是通过举办标准学习培训班等形式，加强相关专业人员对该标准的了解，进而推动该标准的实施。</w:t>
      </w:r>
    </w:p>
    <w:p>
      <w:pPr>
        <w:spacing w:line="360" w:lineRule="auto"/>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三是标准发布后，通过培训会、田间指导等形式进行广泛宣传，指导一线种植生产人员实操，推动本标准在实际生产中发挥作用。</w:t>
      </w:r>
    </w:p>
    <w:p>
      <w:pPr>
        <w:pStyle w:val="2"/>
        <w:spacing w:before="0" w:after="0" w:line="360" w:lineRule="auto"/>
        <w:ind w:firstLine="560"/>
        <w:rPr>
          <w:rFonts w:ascii="Times New Roman" w:hAnsi="Times New Roman" w:cs="Times New Roman"/>
          <w:sz w:val="28"/>
          <w:szCs w:val="28"/>
        </w:rPr>
      </w:pPr>
      <w:bookmarkStart w:id="133" w:name="_Toc6171"/>
      <w:bookmarkStart w:id="134" w:name="_Toc26653"/>
      <w:bookmarkStart w:id="135" w:name="_Toc18783"/>
      <w:bookmarkStart w:id="136" w:name="_Toc22465"/>
      <w:bookmarkStart w:id="137" w:name="_Toc16187"/>
      <w:bookmarkStart w:id="138" w:name="_Toc26194"/>
      <w:r>
        <w:rPr>
          <w:rFonts w:ascii="Times New Roman" w:hAnsi="Times New Roman" w:cs="Times New Roman"/>
          <w:sz w:val="28"/>
          <w:szCs w:val="28"/>
        </w:rPr>
        <w:t>九、废止现行有关标准的建议</w:t>
      </w:r>
      <w:bookmarkEnd w:id="133"/>
      <w:bookmarkEnd w:id="134"/>
      <w:bookmarkEnd w:id="135"/>
      <w:bookmarkEnd w:id="136"/>
      <w:bookmarkEnd w:id="137"/>
      <w:bookmarkEnd w:id="138"/>
    </w:p>
    <w:p>
      <w:pPr>
        <w:spacing w:line="360" w:lineRule="auto"/>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本标准为新制定标准，没有需要废止的标准。</w:t>
      </w:r>
    </w:p>
    <w:p>
      <w:pPr>
        <w:pStyle w:val="2"/>
        <w:spacing w:before="0" w:after="0" w:line="360" w:lineRule="auto"/>
        <w:ind w:firstLine="560"/>
        <w:rPr>
          <w:rFonts w:ascii="Times New Roman" w:hAnsi="Times New Roman" w:cs="Times New Roman"/>
          <w:sz w:val="28"/>
          <w:szCs w:val="28"/>
        </w:rPr>
      </w:pPr>
      <w:bookmarkStart w:id="139" w:name="_Toc8070"/>
      <w:bookmarkStart w:id="140" w:name="_Toc4289"/>
      <w:bookmarkStart w:id="141" w:name="_Toc14436"/>
      <w:bookmarkStart w:id="142" w:name="_Toc23952"/>
      <w:bookmarkStart w:id="143" w:name="_Toc14887"/>
      <w:bookmarkStart w:id="144" w:name="_Toc7747"/>
      <w:r>
        <w:rPr>
          <w:rFonts w:ascii="Times New Roman" w:hAnsi="Times New Roman" w:cs="Times New Roman"/>
          <w:sz w:val="28"/>
          <w:szCs w:val="28"/>
        </w:rPr>
        <w:t>十、其他应予说明的事项</w:t>
      </w:r>
      <w:bookmarkEnd w:id="139"/>
      <w:bookmarkEnd w:id="140"/>
      <w:bookmarkEnd w:id="141"/>
      <w:bookmarkEnd w:id="142"/>
      <w:bookmarkEnd w:id="143"/>
      <w:bookmarkEnd w:id="144"/>
    </w:p>
    <w:p>
      <w:pPr>
        <w:spacing w:line="360" w:lineRule="auto"/>
        <w:ind w:firstLine="560" w:firstLineChars="200"/>
        <w:rPr>
          <w:rFonts w:ascii="Times New Roman" w:hAnsi="Times New Roman" w:eastAsia="宋体" w:cs="Times New Roman"/>
          <w:sz w:val="28"/>
          <w:szCs w:val="28"/>
        </w:rPr>
      </w:pPr>
      <w:r>
        <w:rPr>
          <w:rFonts w:hint="eastAsia" w:ascii="Times New Roman" w:hAnsi="Times New Roman" w:eastAsia="宋体" w:cs="Times New Roman"/>
          <w:sz w:val="28"/>
          <w:szCs w:val="28"/>
        </w:rPr>
        <w:t>本标准没有需要说明的其他事项。</w:t>
      </w:r>
    </w:p>
    <w:p>
      <w:pPr>
        <w:spacing w:line="360" w:lineRule="auto"/>
        <w:ind w:firstLine="480" w:firstLineChars="200"/>
        <w:rPr>
          <w:rFonts w:ascii="Times New Roman" w:hAnsi="Times New Roman" w:eastAsia="宋体" w:cs="Times New Roman"/>
          <w:bCs/>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pStyle w:val="2"/>
        <w:rPr>
          <w:rFonts w:ascii="Times New Roman" w:hAnsi="Times New Roman" w:cs="Times New Roman"/>
          <w:sz w:val="32"/>
          <w:szCs w:val="32"/>
        </w:rPr>
      </w:pPr>
      <w:bookmarkStart w:id="145" w:name="_Toc25078"/>
      <w:bookmarkStart w:id="146" w:name="_Toc19379"/>
      <w:bookmarkStart w:id="147" w:name="_Toc23583"/>
      <w:bookmarkStart w:id="148" w:name="_Toc20996"/>
      <w:bookmarkStart w:id="149" w:name="_Toc2055"/>
      <w:bookmarkStart w:id="150" w:name="_Toc2030"/>
      <w:r>
        <w:rPr>
          <w:rFonts w:ascii="Times New Roman" w:hAnsi="Times New Roman" w:cs="Times New Roman"/>
          <w:sz w:val="32"/>
          <w:szCs w:val="32"/>
        </w:rPr>
        <w:t>主要参考文献</w:t>
      </w:r>
      <w:bookmarkEnd w:id="145"/>
      <w:bookmarkEnd w:id="146"/>
      <w:bookmarkEnd w:id="147"/>
      <w:bookmarkEnd w:id="148"/>
      <w:bookmarkEnd w:id="149"/>
      <w:bookmarkEnd w:id="150"/>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[1]魏淑花，朱小芳，曹春婧，王颖，黄文广.宁夏地区26个主栽苜蓿品种的抗蓟马能力评价[J].草原与草坪，2019，39(02)：47-53.</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[2]贺春贵，王森山，曹致中，魏臻武，冯会文.40个苜蓿品种(系)对蓟马田间抗性评价[J].草业学报，2007(05)：79-83.</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[3]王彩香.5个苜蓿品种苗期田间抗蓟马性评价[J].甘肃农业，2009(12)：100-101.</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[4]马琳，贺春贵，胡桂馨，师尚礼，王森山.四个苜蓿品种无性系大田抗蓟马性能评价[J].植物保护，2009，35(06)：146-149.</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[5]白宇，高兴珂，王业臣，陈中超，孙娟，万方浩，袁忠林.33个苜蓿品种对蓟马的田间抗性比较[J].草业学报，2015，24(03)：187-194.</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[6]胡桂馨，贺春贵，王森山，杜文华.不同苜蓿品种对牛角花齿蓟马的抗性机制初步研究[J].草业科学，2007(09)：86-89.</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[7]胡桂馨，师尚礼，王森山，魏列新，宋丽雯.不同苜蓿品种对牛角花齿蓟马的耐害性研究[J].草地学报，2009，17(04)：505-509.</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[8]袁庆华，张文淑.苜蓿种质材料对蓟马抗性的研究[J].植物保护，2006(01)：85-87.</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[9]李彦忠，南志标，王彦荣，余玲，孙建华，Geoff Auricht，Trevor Garnett.苜蓿品种对蓟马的抗性评价[J].草业科学，2006(07)：9-14.</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[10]刘玉良，米福贵，特木尔布和，王普昶，马小廷，闫蓉.苜蓿蓟马抗性与生理活性相关性研究[J].安徽农业科学，2009，37(18)：8569-8571+8613.</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[11]特木尔布和，乌仁苏都.苜蓿不同品种(系)抗虫性的研究[J].内蒙古农业大学学报(自然科学版)，2012，33(04)：91-97.</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[12]马琳. 4个苜蓿品种无性系对蓟马抗性的田间评价[D].甘肃农业大学，2009.</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[13]王新秀. 抗蓟马苜蓿新品系的品比研究[D].内蒙古农业大学，2008.</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[14]TU Xiong-bing，FAN Yao-li，JI Ming-shan， LIU Zhong-kuan， XIE Nan， LIU Zhen-yu， ZHANG Ze-hua. Improving a method for evaluating alfalfa cultivar resistance to thrips. Journal of Integrative Agriculture， 2016， 15(3)： 600-607.</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[15]张泽华. 苜蓿害虫及天敌鉴定图册[M]. 中国农业科学技术出版社, 2015,1-4.</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[16]陶志杰,花蕾,贾志宽.苜蓿蓟马的发生规律和药剂防治试验[J].干旱地区农业研究,2005(04):212-214+218.</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[17]吴永敷,李秀娴,赵秀华.危害苜蓿的蓟马生活史及活动规律的初步研究[J].中国草地,1990(04):38-41.</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[18]杨雨翠, 郭庆茹, 赵金霞等. 宁夏石嘴山市苜蓿蓟马发生规律及防治对策[J]. 农业科技通讯, 2012(12):3.</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[19]张泽华，李彦忠，涂雄兵等.苜蓿病虫害识别与防治[M].中国农业科学技术出版社, 2018.115-159.</w:t>
      </w:r>
    </w:p>
    <w:p>
      <w:pPr>
        <w:spacing w:line="360" w:lineRule="auto"/>
        <w:rPr>
          <w:rFonts w:ascii="Times New Roman" w:hAnsi="Times New Roman" w:eastAsia="宋体" w:cs="Times New Roman"/>
          <w:sz w:val="28"/>
          <w:szCs w:val="28"/>
        </w:rPr>
      </w:pPr>
      <w:r>
        <w:rPr>
          <w:rFonts w:hint="eastAsia" w:ascii="Times New Roman" w:hAnsi="Times New Roman" w:eastAsia="宋体" w:cs="Times New Roman"/>
          <w:sz w:val="28"/>
          <w:szCs w:val="28"/>
        </w:rPr>
        <w:t>[20]耿华珠. 中国苜蓿[M]. 中国农业出版社, 1995.2-7.</w:t>
      </w:r>
    </w:p>
    <w:p>
      <w:pPr>
        <w:rPr>
          <w:rFonts w:ascii="Times New Roman" w:hAnsi="Times New Roman" w:eastAsia="宋体" w:cs="Times New Roman"/>
          <w:sz w:val="28"/>
          <w:szCs w:val="28"/>
        </w:rPr>
        <w:sectPr>
          <w:pgSz w:w="11906" w:h="16838"/>
          <w:pgMar w:top="1440" w:right="1800" w:bottom="1440" w:left="1800" w:header="851" w:footer="992" w:gutter="0"/>
          <w:cols w:space="425" w:num="1"/>
          <w:docGrid w:type="lines" w:linePitch="312" w:charSpace="0"/>
        </w:sectPr>
      </w:pPr>
      <w:r>
        <w:rPr>
          <w:rFonts w:hint="eastAsia" w:ascii="Times New Roman" w:hAnsi="Times New Roman" w:eastAsia="宋体" w:cs="Times New Roman"/>
          <w:sz w:val="28"/>
          <w:szCs w:val="28"/>
        </w:rPr>
        <w:t>[21]杨青川. 苜蓿种植区划及品种指南[M]. 中国农业大学出版社, 2012.7-10.</w:t>
      </w:r>
    </w:p>
    <w:p>
      <w:pPr>
        <w:snapToGrid w:val="0"/>
        <w:spacing w:line="360" w:lineRule="auto"/>
        <w:jc w:val="center"/>
        <w:rPr>
          <w:rFonts w:ascii="黑体" w:hAnsi="黑体" w:eastAsia="黑体" w:cs="宋体"/>
          <w:bCs/>
          <w:color w:val="000000"/>
          <w:sz w:val="36"/>
          <w:szCs w:val="36"/>
        </w:rPr>
      </w:pPr>
      <w:r>
        <w:rPr>
          <w:rFonts w:hint="eastAsia" w:ascii="黑体" w:hAnsi="黑体" w:eastAsia="黑体"/>
          <w:bCs/>
          <w:color w:val="000000"/>
          <w:sz w:val="36"/>
          <w:szCs w:val="36"/>
        </w:rPr>
        <w:t>预审会议审查意见汇总处理表</w:t>
      </w:r>
    </w:p>
    <w:p>
      <w:pPr>
        <w:snapToGrid w:val="0"/>
        <w:spacing w:line="360" w:lineRule="auto"/>
        <w:jc w:val="left"/>
        <w:rPr>
          <w:rFonts w:ascii="宋体" w:hAnsi="宋体" w:eastAsia="宋体"/>
          <w:color w:val="000000"/>
          <w:sz w:val="28"/>
          <w:szCs w:val="28"/>
        </w:rPr>
      </w:pPr>
      <w:r>
        <w:rPr>
          <w:rFonts w:ascii="宋体" w:hAnsi="宋体" w:eastAsia="宋体"/>
          <w:color w:val="000000"/>
          <w:sz w:val="28"/>
          <w:szCs w:val="28"/>
        </w:rPr>
        <w:t>标准名称：</w:t>
      </w:r>
      <w:r>
        <w:rPr>
          <w:rFonts w:ascii="宋体" w:hAnsi="宋体" w:eastAsia="宋体"/>
          <w:color w:val="000000"/>
          <w:sz w:val="28"/>
          <w:szCs w:val="28"/>
          <w:u w:val="single"/>
        </w:rPr>
        <w:t xml:space="preserve"> 《苜蓿品种抗蓟马评价技术规程》</w:t>
      </w:r>
      <w:r>
        <w:rPr>
          <w:rFonts w:ascii="宋体" w:hAnsi="宋体" w:eastAsia="宋体"/>
          <w:color w:val="000000"/>
          <w:sz w:val="28"/>
          <w:szCs w:val="28"/>
        </w:rPr>
        <w:t xml:space="preserve"> </w:t>
      </w:r>
      <w:r>
        <w:rPr>
          <w:rFonts w:ascii="宋体" w:hAnsi="宋体" w:eastAsia="宋体" w:cs="Times New Roman"/>
          <w:color w:val="000000"/>
          <w:sz w:val="28"/>
          <w:szCs w:val="28"/>
        </w:rPr>
        <w:t xml:space="preserve">                                      </w:t>
      </w:r>
      <w:r>
        <w:rPr>
          <w:rFonts w:ascii="宋体" w:hAnsi="宋体" w:eastAsia="宋体"/>
          <w:color w:val="000000"/>
          <w:sz w:val="28"/>
          <w:szCs w:val="28"/>
        </w:rPr>
        <w:t xml:space="preserve">共 </w:t>
      </w:r>
      <w:r>
        <w:rPr>
          <w:rFonts w:ascii="宋体" w:hAnsi="宋体" w:eastAsia="宋体"/>
          <w:color w:val="000000"/>
          <w:sz w:val="28"/>
          <w:szCs w:val="28"/>
          <w:u w:val="single"/>
        </w:rPr>
        <w:t xml:space="preserve"> </w:t>
      </w:r>
      <w:r>
        <w:rPr>
          <w:rFonts w:ascii="宋体" w:hAnsi="宋体" w:eastAsia="宋体" w:cs="Times New Roman"/>
          <w:color w:val="000000"/>
          <w:sz w:val="28"/>
          <w:szCs w:val="28"/>
          <w:u w:val="single"/>
        </w:rPr>
        <w:t xml:space="preserve"> 5</w:t>
      </w:r>
      <w:r>
        <w:rPr>
          <w:rFonts w:ascii="宋体" w:hAnsi="宋体" w:eastAsia="宋体"/>
          <w:color w:val="000000"/>
          <w:sz w:val="28"/>
          <w:szCs w:val="28"/>
          <w:u w:val="single"/>
        </w:rPr>
        <w:t xml:space="preserve">  </w:t>
      </w:r>
      <w:r>
        <w:rPr>
          <w:rFonts w:ascii="宋体" w:hAnsi="宋体" w:eastAsia="宋体"/>
          <w:color w:val="000000"/>
          <w:sz w:val="28"/>
          <w:szCs w:val="28"/>
        </w:rPr>
        <w:t xml:space="preserve"> 页</w:t>
      </w:r>
    </w:p>
    <w:p>
      <w:pPr>
        <w:snapToGrid w:val="0"/>
        <w:spacing w:line="360" w:lineRule="auto"/>
        <w:jc w:val="left"/>
        <w:rPr>
          <w:rFonts w:ascii="宋体" w:hAnsi="宋体" w:eastAsia="宋体" w:cs="Times New Roman"/>
          <w:color w:val="000000"/>
          <w:sz w:val="28"/>
          <w:szCs w:val="28"/>
        </w:rPr>
      </w:pPr>
      <w:r>
        <w:rPr>
          <w:rFonts w:ascii="宋体" w:hAnsi="宋体" w:eastAsia="宋体"/>
          <w:color w:val="000000"/>
          <w:sz w:val="28"/>
          <w:szCs w:val="28"/>
        </w:rPr>
        <w:t>标准项目承担单位：</w:t>
      </w:r>
      <w:r>
        <w:rPr>
          <w:rFonts w:ascii="宋体" w:hAnsi="宋体" w:eastAsia="宋体"/>
          <w:color w:val="000000"/>
          <w:sz w:val="28"/>
          <w:szCs w:val="28"/>
          <w:u w:val="single"/>
        </w:rPr>
        <w:t xml:space="preserve">   全国畜牧总站 </w:t>
      </w:r>
      <w:r>
        <w:rPr>
          <w:rFonts w:ascii="宋体" w:hAnsi="宋体" w:eastAsia="宋体" w:cs="Times New Roman"/>
          <w:color w:val="000000"/>
          <w:sz w:val="28"/>
          <w:szCs w:val="28"/>
          <w:u w:val="single"/>
        </w:rPr>
        <w:t xml:space="preserve"> </w:t>
      </w:r>
      <w:r>
        <w:rPr>
          <w:rFonts w:ascii="宋体" w:hAnsi="宋体" w:eastAsia="宋体"/>
          <w:color w:val="000000"/>
          <w:sz w:val="28"/>
          <w:szCs w:val="28"/>
          <w:u w:val="single"/>
        </w:rPr>
        <w:t xml:space="preserve"> </w:t>
      </w:r>
      <w:r>
        <w:rPr>
          <w:rFonts w:ascii="宋体" w:hAnsi="宋体" w:eastAsia="宋体"/>
          <w:color w:val="000000"/>
          <w:sz w:val="28"/>
          <w:szCs w:val="28"/>
        </w:rPr>
        <w:t xml:space="preserve"> </w:t>
      </w:r>
      <w:r>
        <w:rPr>
          <w:rFonts w:ascii="宋体" w:hAnsi="宋体" w:eastAsia="宋体" w:cs="Times New Roman"/>
          <w:color w:val="000000"/>
          <w:sz w:val="28"/>
          <w:szCs w:val="28"/>
        </w:rPr>
        <w:t xml:space="preserve">                                    </w:t>
      </w:r>
      <w:r>
        <w:rPr>
          <w:rFonts w:ascii="宋体" w:hAnsi="宋体" w:eastAsia="宋体" w:cs="Times New Roman"/>
          <w:color w:val="000000"/>
          <w:sz w:val="28"/>
          <w:szCs w:val="28"/>
          <w:u w:val="single"/>
        </w:rPr>
        <w:t>20</w:t>
      </w:r>
      <w:r>
        <w:rPr>
          <w:rFonts w:ascii="宋体" w:hAnsi="宋体" w:eastAsia="宋体" w:cs="Times New Roman"/>
          <w:color w:val="000000"/>
          <w:sz w:val="28"/>
          <w:szCs w:val="28"/>
        </w:rPr>
        <w:t>22</w:t>
      </w:r>
      <w:r>
        <w:rPr>
          <w:rFonts w:ascii="宋体" w:hAnsi="宋体" w:eastAsia="宋体"/>
          <w:color w:val="000000"/>
          <w:sz w:val="28"/>
          <w:szCs w:val="28"/>
        </w:rPr>
        <w:t>年</w:t>
      </w:r>
      <w:r>
        <w:rPr>
          <w:rFonts w:ascii="宋体" w:hAnsi="宋体" w:eastAsia="宋体" w:cs="Times New Roman"/>
          <w:color w:val="000000"/>
          <w:sz w:val="28"/>
          <w:szCs w:val="28"/>
        </w:rPr>
        <w:t>1</w:t>
      </w:r>
      <w:r>
        <w:rPr>
          <w:rFonts w:ascii="宋体" w:hAnsi="宋体" w:eastAsia="宋体"/>
          <w:color w:val="000000"/>
          <w:sz w:val="28"/>
          <w:szCs w:val="28"/>
        </w:rPr>
        <w:t>月</w:t>
      </w:r>
      <w:r>
        <w:rPr>
          <w:rFonts w:ascii="宋体" w:hAnsi="宋体" w:eastAsia="宋体" w:cs="Times New Roman"/>
          <w:color w:val="000000"/>
          <w:sz w:val="28"/>
          <w:szCs w:val="28"/>
        </w:rPr>
        <w:t>17</w:t>
      </w:r>
      <w:r>
        <w:rPr>
          <w:rFonts w:ascii="宋体" w:hAnsi="宋体" w:eastAsia="宋体"/>
          <w:color w:val="000000"/>
          <w:sz w:val="28"/>
          <w:szCs w:val="28"/>
        </w:rPr>
        <w:t>日填写</w:t>
      </w:r>
    </w:p>
    <w:tbl>
      <w:tblPr>
        <w:tblStyle w:val="17"/>
        <w:tblW w:w="129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6"/>
        <w:gridCol w:w="1512"/>
        <w:gridCol w:w="5804"/>
        <w:gridCol w:w="1553"/>
        <w:gridCol w:w="1549"/>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8"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序号</w:t>
            </w:r>
          </w:p>
        </w:tc>
        <w:tc>
          <w:tcPr>
            <w:tcW w:w="1512"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标准章条编号</w:t>
            </w:r>
          </w:p>
        </w:tc>
        <w:tc>
          <w:tcPr>
            <w:tcW w:w="5804"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意见内容</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提出单位</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处理意见</w:t>
            </w:r>
          </w:p>
        </w:tc>
        <w:tc>
          <w:tcPr>
            <w:tcW w:w="1200"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等线" w:cs="Times New Roman"/>
                <w:b/>
                <w:color w:val="000000"/>
                <w:sz w:val="30"/>
                <w:szCs w:val="30"/>
              </w:rPr>
            </w:pPr>
            <w:r>
              <w:rPr>
                <w:rFonts w:ascii="仿宋_GB2312" w:hAnsi="仿宋_GB2312" w:cs="Times New Roman"/>
                <w:b/>
                <w:color w:val="000000"/>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全文</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建议对全文英文进行检查复核</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全文</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将“抗蓟马性评价”改为“蓟马抗性评价”</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标题</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建议改为“苜蓿主要蓟马抗性评价技术规程”</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1</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Times New Roman" w:hAnsi="Times New Roman" w:eastAsia="宋体" w:cs="Times New Roman"/>
                <w:color w:val="000000"/>
                <w:kern w:val="0"/>
                <w:sz w:val="28"/>
                <w:szCs w:val="28"/>
              </w:rPr>
            </w:pPr>
            <w:r>
              <w:rPr>
                <w:rFonts w:ascii="Times New Roman" w:hAnsi="Times New Roman" w:eastAsia="宋体" w:cs="Times New Roman"/>
                <w:color w:val="000000"/>
                <w:sz w:val="28"/>
                <w:szCs w:val="28"/>
              </w:rPr>
              <w:t>将“</w:t>
            </w:r>
            <w:r>
              <w:rPr>
                <w:rFonts w:ascii="Times New Roman" w:hAnsi="Times New Roman" w:eastAsia="宋体" w:cs="Times New Roman"/>
                <w:color w:val="000000"/>
                <w:kern w:val="0"/>
                <w:sz w:val="28"/>
                <w:szCs w:val="28"/>
              </w:rPr>
              <w:t>注：本文件所指的蓟马是蓟马混合种群，主要包括牛角花齿蓟马（</w:t>
            </w:r>
            <w:r>
              <w:rPr>
                <w:rFonts w:ascii="Times New Roman" w:hAnsi="Times New Roman" w:eastAsia="宋体" w:cs="Times New Roman"/>
                <w:i/>
                <w:iCs/>
                <w:color w:val="000000"/>
                <w:kern w:val="0"/>
                <w:sz w:val="28"/>
                <w:szCs w:val="28"/>
              </w:rPr>
              <w:t xml:space="preserve">Odontothrips loti </w:t>
            </w:r>
            <w:r>
              <w:rPr>
                <w:rFonts w:ascii="Times New Roman" w:hAnsi="Times New Roman" w:eastAsia="宋体" w:cs="Times New Roman"/>
                <w:color w:val="000000"/>
                <w:kern w:val="0"/>
                <w:sz w:val="28"/>
                <w:szCs w:val="28"/>
              </w:rPr>
              <w:t>Haliday）、花蓟马（</w:t>
            </w:r>
            <w:r>
              <w:rPr>
                <w:rFonts w:ascii="Times New Roman" w:hAnsi="Times New Roman" w:eastAsia="宋体" w:cs="Times New Roman"/>
                <w:i/>
                <w:iCs/>
                <w:color w:val="000000"/>
                <w:kern w:val="0"/>
                <w:sz w:val="28"/>
                <w:szCs w:val="28"/>
              </w:rPr>
              <w:t>Frankliniella intonsa</w:t>
            </w:r>
            <w:r>
              <w:rPr>
                <w:rFonts w:ascii="Times New Roman" w:hAnsi="Times New Roman" w:eastAsia="宋体" w:cs="Times New Roman"/>
                <w:color w:val="000000"/>
                <w:kern w:val="0"/>
                <w:sz w:val="28"/>
                <w:szCs w:val="28"/>
              </w:rPr>
              <w:t xml:space="preserve"> Trybom）、烟蓟马（</w:t>
            </w:r>
            <w:r>
              <w:rPr>
                <w:rFonts w:ascii="Times New Roman" w:hAnsi="Times New Roman" w:eastAsia="宋体" w:cs="Times New Roman"/>
                <w:i/>
                <w:iCs/>
                <w:color w:val="000000"/>
                <w:kern w:val="0"/>
                <w:sz w:val="28"/>
                <w:szCs w:val="28"/>
              </w:rPr>
              <w:t xml:space="preserve">Thrips tabaci </w:t>
            </w:r>
            <w:r>
              <w:rPr>
                <w:rFonts w:ascii="Times New Roman" w:hAnsi="Times New Roman" w:eastAsia="宋体" w:cs="Times New Roman"/>
                <w:color w:val="000000"/>
                <w:kern w:val="0"/>
                <w:sz w:val="28"/>
                <w:szCs w:val="28"/>
              </w:rPr>
              <w:t>Lindeman）、西花蓟马（</w:t>
            </w:r>
            <w:r>
              <w:rPr>
                <w:rFonts w:ascii="Times New Roman" w:hAnsi="Times New Roman" w:eastAsia="宋体" w:cs="Times New Roman"/>
                <w:i/>
                <w:iCs/>
                <w:color w:val="000000"/>
                <w:kern w:val="0"/>
                <w:sz w:val="28"/>
                <w:szCs w:val="28"/>
              </w:rPr>
              <w:t>Franklinielia occidentalis</w:t>
            </w:r>
            <w:r>
              <w:rPr>
                <w:rFonts w:ascii="Times New Roman" w:hAnsi="Times New Roman" w:eastAsia="宋体" w:cs="Times New Roman"/>
                <w:color w:val="000000"/>
                <w:kern w:val="0"/>
                <w:sz w:val="28"/>
                <w:szCs w:val="28"/>
              </w:rPr>
              <w:t xml:space="preserve"> Perg）、端带蓟马（</w:t>
            </w:r>
            <w:r>
              <w:rPr>
                <w:rFonts w:ascii="Times New Roman" w:hAnsi="Times New Roman" w:eastAsia="宋体" w:cs="Times New Roman"/>
                <w:i/>
                <w:iCs/>
                <w:color w:val="000000"/>
                <w:kern w:val="0"/>
                <w:sz w:val="28"/>
                <w:szCs w:val="28"/>
              </w:rPr>
              <w:t>Megalurothrips distali</w:t>
            </w:r>
            <w:r>
              <w:rPr>
                <w:rFonts w:ascii="Times New Roman" w:hAnsi="Times New Roman" w:eastAsia="宋体" w:cs="Times New Roman"/>
                <w:color w:val="000000"/>
                <w:kern w:val="0"/>
                <w:sz w:val="28"/>
                <w:szCs w:val="28"/>
              </w:rPr>
              <w:t xml:space="preserve"> Karny）等。</w:t>
            </w:r>
            <w:r>
              <w:rPr>
                <w:rFonts w:ascii="Times New Roman" w:hAnsi="Times New Roman" w:eastAsia="宋体" w:cs="Times New Roman"/>
                <w:color w:val="000000"/>
                <w:sz w:val="28"/>
                <w:szCs w:val="28"/>
              </w:rPr>
              <w:t>”移至“9.调查方法”</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2</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删除各引用标准后的标点符号</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2</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将“第七部分”改为“第7部分”</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3.3</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建议删除“对照品种”这一术语定义</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3.4</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将“抗蓟马指数”改为“蓟马抗性指数”</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highlight w:val="yellow"/>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highlight w:val="yellow"/>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3.4</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该部分未明确抗蓟马指数的含义，建议将该术语定义内容进行修改，明确其含义</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4</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部分标题重复，建议进行修改</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4</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建议图1按照正文各部分编号进行对应标注</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5</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建议将“蓟马有趋蓝色习性，干扰蓟马活动的色谱源主要指试验田周围的蓝色物体。如，蓝色覆盖物等。”改为“试验田周围不能出现干扰蓟马习性的蓝色覆盖物等。”</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5</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将“注：蓟马有趋蓝色习性，干扰蓟马活动的色谱源主要指试验田周围的蓝色物体。如，蓝</w:t>
            </w:r>
          </w:p>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色覆盖物等”与“苜蓿品种抗蓟马评价试验田设置在蓟马常年发生、地势平坦的地块，地块周围 500m 内干扰蓟马活动的色谱源面积不超过试验田面积的 1%。”进行合并阐述</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6</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建议删除该部分，1.范围中已规定了本文件的适用范围</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7</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建议对试验田小区面积进行规定</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7</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建议对各试验小区分隔带距离进行规定</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9.1</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建议将该部分分拆分为“调查物种”和“调查时间”分别进行阐述</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9.1</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建议对调查次数进行规定</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9.1</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删除“注：苜蓿蓟马发生规律是一年发生 10 余代，从苜蓿返青开始的整个生育期均可持续为害。蓟马成虫在苜蓿返青期开始初现，此时虫口密度较低，5月中旬虫口突增。蓟马发生盛</w:t>
            </w:r>
            <w:r>
              <w:rPr>
                <w:rFonts w:ascii="Times New Roman" w:hAnsi="Times New Roman" w:eastAsia="宋体" w:cs="Times New Roman"/>
                <w:sz w:val="28"/>
                <w:szCs w:val="28"/>
              </w:rPr>
              <w:t>期从 5 月上旬持续到9月上旬，对每一茬苜蓿均可为害，特别对第 1 茬和第 2 茬苜蓿危害严 重，通常在初花期达到为害高峰。</w:t>
            </w:r>
            <w:r>
              <w:rPr>
                <w:rFonts w:ascii="Times New Roman" w:hAnsi="Times New Roman" w:eastAsia="宋体" w:cs="Times New Roman"/>
                <w:color w:val="000000"/>
                <w:sz w:val="28"/>
                <w:szCs w:val="28"/>
              </w:rPr>
              <w:t>”</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9.2</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建议将“调查方法”改为“取样方法”</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9.2</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拍枝条法采集蓟马容易对蓟马发生情况造成影响，建议将采集蓟马的方法改为“套袋剪枝法”</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10.1</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将“按照 NY/T 2867 规定的实验室鉴定方法对调查获得的蓟马成虫进行鉴定。符合苜蓿田</w:t>
            </w:r>
          </w:p>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主要蓟马形态特征的记作苜蓿蓟马。”移至“调查物种”部分</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10.1</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建议将“表1苜蓿田主要蓟马种类形态特征”移至附表</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10.2</w:t>
            </w:r>
          </w:p>
        </w:tc>
        <w:tc>
          <w:tcPr>
            <w:tcW w:w="5804" w:type="dxa"/>
            <w:tcBorders>
              <w:top w:val="single" w:color="auto" w:sz="4" w:space="0"/>
              <w:left w:val="single" w:color="auto" w:sz="4" w:space="0"/>
              <w:bottom w:val="single" w:color="auto" w:sz="4" w:space="0"/>
              <w:right w:val="single" w:color="auto" w:sz="4" w:space="0"/>
            </w:tcBorders>
            <w:vAlign w:val="center"/>
          </w:tcPr>
          <w:p>
            <w:pPr>
              <w:pStyle w:val="6"/>
              <w:spacing w:before="1"/>
              <w:ind w:right="94"/>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将“抗蓟马指数”改为“蓟马抗性指数”</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10.2</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建议将该部分指标加入参数</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1326" w:type="dxa"/>
            <w:tcBorders>
              <w:top w:val="single" w:color="auto" w:sz="4" w:space="0"/>
              <w:left w:val="single" w:color="auto" w:sz="4" w:space="0"/>
              <w:bottom w:val="single" w:color="auto" w:sz="4" w:space="0"/>
              <w:right w:val="single" w:color="auto" w:sz="4" w:space="0"/>
            </w:tcBorders>
            <w:vAlign w:val="center"/>
          </w:tcPr>
          <w:p>
            <w:pPr>
              <w:numPr>
                <w:ilvl w:val="0"/>
                <w:numId w:val="2"/>
              </w:numPr>
              <w:snapToGrid w:val="0"/>
              <w:jc w:val="center"/>
              <w:rPr>
                <w:rFonts w:ascii="Times New Roman" w:hAnsi="Times New Roman" w:eastAsia="宋体" w:cs="Times New Roman"/>
                <w:color w:val="000000"/>
                <w:sz w:val="28"/>
                <w:szCs w:val="28"/>
              </w:rPr>
            </w:pPr>
          </w:p>
        </w:tc>
        <w:tc>
          <w:tcPr>
            <w:tcW w:w="1512" w:type="dxa"/>
            <w:tcBorders>
              <w:top w:val="single" w:color="auto" w:sz="4" w:space="0"/>
              <w:left w:val="single" w:color="auto" w:sz="4" w:space="0"/>
              <w:bottom w:val="single" w:color="auto" w:sz="4" w:space="0"/>
              <w:right w:val="single" w:color="auto" w:sz="4" w:space="0"/>
            </w:tcBorders>
            <w:vAlign w:val="center"/>
          </w:tcPr>
          <w:p>
            <w:pPr>
              <w:pStyle w:val="33"/>
              <w:spacing w:before="312" w:after="312" w:line="360" w:lineRule="auto"/>
              <w:jc w:val="center"/>
              <w:rPr>
                <w:rFonts w:ascii="Times New Roman" w:eastAsia="宋体"/>
                <w:color w:val="000000"/>
                <w:sz w:val="28"/>
                <w:szCs w:val="28"/>
              </w:rPr>
            </w:pPr>
            <w:r>
              <w:rPr>
                <w:rFonts w:ascii="Times New Roman" w:eastAsia="宋体"/>
                <w:color w:val="000000"/>
                <w:sz w:val="28"/>
                <w:szCs w:val="28"/>
              </w:rPr>
              <w:t>附表A.1</w:t>
            </w:r>
          </w:p>
        </w:tc>
        <w:tc>
          <w:tcPr>
            <w:tcW w:w="5804"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建议将该表改为“田间调查记录表”，并修改记录内容</w:t>
            </w:r>
          </w:p>
        </w:tc>
        <w:tc>
          <w:tcPr>
            <w:tcW w:w="1553"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专家组</w:t>
            </w:r>
          </w:p>
        </w:tc>
        <w:tc>
          <w:tcPr>
            <w:tcW w:w="154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imes New Roman" w:hAnsi="Times New Roman" w:eastAsia="宋体" w:cs="Times New Roman"/>
                <w:color w:val="000000"/>
                <w:sz w:val="28"/>
                <w:szCs w:val="28"/>
              </w:rPr>
            </w:pPr>
            <w:r>
              <w:rPr>
                <w:rFonts w:ascii="Times New Roman" w:hAnsi="Times New Roman" w:eastAsia="宋体" w:cs="Times New Roman"/>
                <w:color w:val="000000"/>
                <w:sz w:val="28"/>
                <w:szCs w:val="28"/>
              </w:rPr>
              <w:t>采纳</w:t>
            </w:r>
          </w:p>
        </w:tc>
        <w:tc>
          <w:tcPr>
            <w:tcW w:w="1200" w:type="dxa"/>
            <w:tcBorders>
              <w:top w:val="single" w:color="auto" w:sz="4" w:space="0"/>
              <w:left w:val="single" w:color="auto" w:sz="4" w:space="0"/>
              <w:bottom w:val="single" w:color="auto" w:sz="4" w:space="0"/>
              <w:right w:val="single" w:color="auto" w:sz="4" w:space="0"/>
            </w:tcBorders>
          </w:tcPr>
          <w:p>
            <w:pPr>
              <w:snapToGrid w:val="0"/>
              <w:jc w:val="left"/>
              <w:rPr>
                <w:rFonts w:ascii="宋体" w:hAnsi="宋体" w:eastAsia="宋体" w:cs="Times New Roman"/>
                <w:color w:val="000000"/>
              </w:rPr>
            </w:pPr>
          </w:p>
        </w:tc>
      </w:tr>
    </w:tbl>
    <w:p>
      <w:pPr>
        <w:rPr>
          <w:rFonts w:ascii="Times New Roman" w:hAnsi="Times New Roman" w:eastAsia="宋体" w:cs="Times New Roman"/>
          <w:bCs/>
          <w:sz w:val="28"/>
          <w:szCs w:val="28"/>
        </w:rPr>
      </w:pPr>
      <w:r>
        <w:rPr>
          <w:rFonts w:hint="eastAsia"/>
        </w:rPr>
        <w:t xml:space="preserve"> </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28</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967562"/>
    <w:multiLevelType w:val="multilevel"/>
    <w:tmpl w:val="0D967562"/>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
    <w:nsid w:val="606E3544"/>
    <w:multiLevelType w:val="multilevel"/>
    <w:tmpl w:val="606E3544"/>
    <w:lvl w:ilvl="0" w:tentative="0">
      <w:start w:val="1"/>
      <w:numFmt w:val="decimal"/>
      <w:lvlText w:val="%1"/>
      <w:lvlJc w:val="left"/>
      <w:pPr>
        <w:ind w:left="420" w:hanging="42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U5ODk0YTg0YjljMzFlN2E2MDQ4ODVhMGEyNWQxYzcifQ=="/>
  </w:docVars>
  <w:rsids>
    <w:rsidRoot w:val="00085398"/>
    <w:rsid w:val="00000193"/>
    <w:rsid w:val="00007BC0"/>
    <w:rsid w:val="000208DC"/>
    <w:rsid w:val="00021369"/>
    <w:rsid w:val="00026C30"/>
    <w:rsid w:val="00030158"/>
    <w:rsid w:val="0006030E"/>
    <w:rsid w:val="00064362"/>
    <w:rsid w:val="00071C78"/>
    <w:rsid w:val="00073861"/>
    <w:rsid w:val="00077A9A"/>
    <w:rsid w:val="00080AE5"/>
    <w:rsid w:val="00085398"/>
    <w:rsid w:val="00092C23"/>
    <w:rsid w:val="0009438A"/>
    <w:rsid w:val="000A49E4"/>
    <w:rsid w:val="000B088F"/>
    <w:rsid w:val="000D273D"/>
    <w:rsid w:val="000E462A"/>
    <w:rsid w:val="000F53DB"/>
    <w:rsid w:val="00101386"/>
    <w:rsid w:val="00104870"/>
    <w:rsid w:val="001165AA"/>
    <w:rsid w:val="001177E5"/>
    <w:rsid w:val="00124DA6"/>
    <w:rsid w:val="00134550"/>
    <w:rsid w:val="00134ED8"/>
    <w:rsid w:val="00136AA1"/>
    <w:rsid w:val="00140C2D"/>
    <w:rsid w:val="00144DFB"/>
    <w:rsid w:val="001727AF"/>
    <w:rsid w:val="001731BB"/>
    <w:rsid w:val="00180E33"/>
    <w:rsid w:val="00183D04"/>
    <w:rsid w:val="00187570"/>
    <w:rsid w:val="0019311A"/>
    <w:rsid w:val="001A1ED2"/>
    <w:rsid w:val="001A676D"/>
    <w:rsid w:val="001B04CA"/>
    <w:rsid w:val="001B13A1"/>
    <w:rsid w:val="001D3534"/>
    <w:rsid w:val="001D4F1E"/>
    <w:rsid w:val="001E02B3"/>
    <w:rsid w:val="001F2EEE"/>
    <w:rsid w:val="00204C0E"/>
    <w:rsid w:val="00206AEC"/>
    <w:rsid w:val="00206FEA"/>
    <w:rsid w:val="002079AE"/>
    <w:rsid w:val="002158E8"/>
    <w:rsid w:val="00226172"/>
    <w:rsid w:val="002356C8"/>
    <w:rsid w:val="00252549"/>
    <w:rsid w:val="002525C0"/>
    <w:rsid w:val="0025418C"/>
    <w:rsid w:val="00256765"/>
    <w:rsid w:val="00257647"/>
    <w:rsid w:val="0025771C"/>
    <w:rsid w:val="0026347C"/>
    <w:rsid w:val="00272DFF"/>
    <w:rsid w:val="00275EB4"/>
    <w:rsid w:val="00280B57"/>
    <w:rsid w:val="0028364A"/>
    <w:rsid w:val="0028385E"/>
    <w:rsid w:val="00287CF5"/>
    <w:rsid w:val="00290C5E"/>
    <w:rsid w:val="0029278B"/>
    <w:rsid w:val="002A1C94"/>
    <w:rsid w:val="002A3228"/>
    <w:rsid w:val="002A5C04"/>
    <w:rsid w:val="002A5DD7"/>
    <w:rsid w:val="002C675E"/>
    <w:rsid w:val="002D0997"/>
    <w:rsid w:val="002D197B"/>
    <w:rsid w:val="002D397C"/>
    <w:rsid w:val="002F0237"/>
    <w:rsid w:val="00341D06"/>
    <w:rsid w:val="003436D3"/>
    <w:rsid w:val="00344CC7"/>
    <w:rsid w:val="003461ED"/>
    <w:rsid w:val="00365B21"/>
    <w:rsid w:val="00371152"/>
    <w:rsid w:val="00383A7C"/>
    <w:rsid w:val="003A2E32"/>
    <w:rsid w:val="003A7660"/>
    <w:rsid w:val="003B1AA9"/>
    <w:rsid w:val="003B375A"/>
    <w:rsid w:val="003B3A3E"/>
    <w:rsid w:val="003C27E7"/>
    <w:rsid w:val="003D2C32"/>
    <w:rsid w:val="003D60C4"/>
    <w:rsid w:val="003D69FB"/>
    <w:rsid w:val="003E63ED"/>
    <w:rsid w:val="00404662"/>
    <w:rsid w:val="00407163"/>
    <w:rsid w:val="00411E23"/>
    <w:rsid w:val="00420D26"/>
    <w:rsid w:val="00423E9D"/>
    <w:rsid w:val="004256C4"/>
    <w:rsid w:val="00431C25"/>
    <w:rsid w:val="00435FAE"/>
    <w:rsid w:val="004408D4"/>
    <w:rsid w:val="0045223A"/>
    <w:rsid w:val="00456765"/>
    <w:rsid w:val="004579A9"/>
    <w:rsid w:val="004628CE"/>
    <w:rsid w:val="00466906"/>
    <w:rsid w:val="004669CB"/>
    <w:rsid w:val="00480C78"/>
    <w:rsid w:val="00485ECA"/>
    <w:rsid w:val="00492CCF"/>
    <w:rsid w:val="004A2E96"/>
    <w:rsid w:val="004A40AE"/>
    <w:rsid w:val="004A4FDF"/>
    <w:rsid w:val="004A6E70"/>
    <w:rsid w:val="004C1F21"/>
    <w:rsid w:val="004C6D6B"/>
    <w:rsid w:val="004E2D3E"/>
    <w:rsid w:val="004E663D"/>
    <w:rsid w:val="004F33F8"/>
    <w:rsid w:val="004F4F62"/>
    <w:rsid w:val="004F79E3"/>
    <w:rsid w:val="00516087"/>
    <w:rsid w:val="005324A6"/>
    <w:rsid w:val="005328E1"/>
    <w:rsid w:val="00532E81"/>
    <w:rsid w:val="005419AC"/>
    <w:rsid w:val="00542A5E"/>
    <w:rsid w:val="005502D6"/>
    <w:rsid w:val="0055104B"/>
    <w:rsid w:val="00562B34"/>
    <w:rsid w:val="00564D45"/>
    <w:rsid w:val="00566CD6"/>
    <w:rsid w:val="00570BEC"/>
    <w:rsid w:val="00573B36"/>
    <w:rsid w:val="00573EC4"/>
    <w:rsid w:val="005776DB"/>
    <w:rsid w:val="00581005"/>
    <w:rsid w:val="0059552B"/>
    <w:rsid w:val="005A4AE6"/>
    <w:rsid w:val="005B4B82"/>
    <w:rsid w:val="005C5DDC"/>
    <w:rsid w:val="005D0334"/>
    <w:rsid w:val="005D03BF"/>
    <w:rsid w:val="005D6044"/>
    <w:rsid w:val="005D74E8"/>
    <w:rsid w:val="005E0480"/>
    <w:rsid w:val="005F0832"/>
    <w:rsid w:val="005F203E"/>
    <w:rsid w:val="005F40CB"/>
    <w:rsid w:val="005F5EE5"/>
    <w:rsid w:val="005F73DE"/>
    <w:rsid w:val="00607DCB"/>
    <w:rsid w:val="00622D67"/>
    <w:rsid w:val="00631D60"/>
    <w:rsid w:val="006556C4"/>
    <w:rsid w:val="00656C34"/>
    <w:rsid w:val="00665BEB"/>
    <w:rsid w:val="00672C2F"/>
    <w:rsid w:val="00673E43"/>
    <w:rsid w:val="00675B37"/>
    <w:rsid w:val="00676BE6"/>
    <w:rsid w:val="00676E4B"/>
    <w:rsid w:val="006817CD"/>
    <w:rsid w:val="00683111"/>
    <w:rsid w:val="0068427F"/>
    <w:rsid w:val="006879DB"/>
    <w:rsid w:val="00697B4B"/>
    <w:rsid w:val="006A3F77"/>
    <w:rsid w:val="006B00F7"/>
    <w:rsid w:val="006B053D"/>
    <w:rsid w:val="006B50EF"/>
    <w:rsid w:val="006C1BD1"/>
    <w:rsid w:val="006C2888"/>
    <w:rsid w:val="006C326B"/>
    <w:rsid w:val="006C4391"/>
    <w:rsid w:val="006D1BA7"/>
    <w:rsid w:val="006D3C4D"/>
    <w:rsid w:val="006D5F5A"/>
    <w:rsid w:val="006E754C"/>
    <w:rsid w:val="006F2AF6"/>
    <w:rsid w:val="006F6B56"/>
    <w:rsid w:val="006F71A9"/>
    <w:rsid w:val="006F79C3"/>
    <w:rsid w:val="00701A69"/>
    <w:rsid w:val="007020AA"/>
    <w:rsid w:val="007072B6"/>
    <w:rsid w:val="00713B12"/>
    <w:rsid w:val="00722A14"/>
    <w:rsid w:val="0073281F"/>
    <w:rsid w:val="00737373"/>
    <w:rsid w:val="00746E40"/>
    <w:rsid w:val="00760359"/>
    <w:rsid w:val="00761460"/>
    <w:rsid w:val="00762F87"/>
    <w:rsid w:val="00772EE9"/>
    <w:rsid w:val="00783095"/>
    <w:rsid w:val="00784380"/>
    <w:rsid w:val="00791C09"/>
    <w:rsid w:val="00793811"/>
    <w:rsid w:val="007943B7"/>
    <w:rsid w:val="007950D9"/>
    <w:rsid w:val="007954FD"/>
    <w:rsid w:val="007B1439"/>
    <w:rsid w:val="007B29DE"/>
    <w:rsid w:val="007B69F8"/>
    <w:rsid w:val="007C4CE2"/>
    <w:rsid w:val="007C7D98"/>
    <w:rsid w:val="007D57B5"/>
    <w:rsid w:val="007E1850"/>
    <w:rsid w:val="007E49FF"/>
    <w:rsid w:val="00802B96"/>
    <w:rsid w:val="008114EE"/>
    <w:rsid w:val="008160D8"/>
    <w:rsid w:val="00821656"/>
    <w:rsid w:val="00824789"/>
    <w:rsid w:val="00825CF8"/>
    <w:rsid w:val="00831129"/>
    <w:rsid w:val="008343D1"/>
    <w:rsid w:val="00851EA4"/>
    <w:rsid w:val="00852307"/>
    <w:rsid w:val="00854292"/>
    <w:rsid w:val="00861154"/>
    <w:rsid w:val="00862693"/>
    <w:rsid w:val="00872C59"/>
    <w:rsid w:val="00884AD1"/>
    <w:rsid w:val="00892522"/>
    <w:rsid w:val="0089275B"/>
    <w:rsid w:val="008A66CA"/>
    <w:rsid w:val="008B459E"/>
    <w:rsid w:val="008C7D25"/>
    <w:rsid w:val="008E571B"/>
    <w:rsid w:val="008F414A"/>
    <w:rsid w:val="00900190"/>
    <w:rsid w:val="00900E99"/>
    <w:rsid w:val="00906E74"/>
    <w:rsid w:val="009104A7"/>
    <w:rsid w:val="009208D4"/>
    <w:rsid w:val="009223D0"/>
    <w:rsid w:val="009263E1"/>
    <w:rsid w:val="00930D7D"/>
    <w:rsid w:val="00941ACF"/>
    <w:rsid w:val="009452F6"/>
    <w:rsid w:val="00947B50"/>
    <w:rsid w:val="00947DB0"/>
    <w:rsid w:val="00952D6F"/>
    <w:rsid w:val="00954CB6"/>
    <w:rsid w:val="009655A7"/>
    <w:rsid w:val="00982733"/>
    <w:rsid w:val="00986697"/>
    <w:rsid w:val="0098717B"/>
    <w:rsid w:val="009907C8"/>
    <w:rsid w:val="00991C70"/>
    <w:rsid w:val="009A48D1"/>
    <w:rsid w:val="009A5B72"/>
    <w:rsid w:val="009A611B"/>
    <w:rsid w:val="009B16E4"/>
    <w:rsid w:val="009B7C15"/>
    <w:rsid w:val="009C1E68"/>
    <w:rsid w:val="009C394A"/>
    <w:rsid w:val="009D3B8B"/>
    <w:rsid w:val="009E18D7"/>
    <w:rsid w:val="009E2F89"/>
    <w:rsid w:val="009E37D9"/>
    <w:rsid w:val="00A00527"/>
    <w:rsid w:val="00A01243"/>
    <w:rsid w:val="00A11E11"/>
    <w:rsid w:val="00A14B43"/>
    <w:rsid w:val="00A14EB0"/>
    <w:rsid w:val="00A1578A"/>
    <w:rsid w:val="00A16CA0"/>
    <w:rsid w:val="00A31D88"/>
    <w:rsid w:val="00A4082F"/>
    <w:rsid w:val="00A4631C"/>
    <w:rsid w:val="00A509CE"/>
    <w:rsid w:val="00A517DC"/>
    <w:rsid w:val="00A51B46"/>
    <w:rsid w:val="00A52C40"/>
    <w:rsid w:val="00A6427E"/>
    <w:rsid w:val="00A668C1"/>
    <w:rsid w:val="00A8028E"/>
    <w:rsid w:val="00A87BF6"/>
    <w:rsid w:val="00A90B5F"/>
    <w:rsid w:val="00A93381"/>
    <w:rsid w:val="00A939DF"/>
    <w:rsid w:val="00AA752B"/>
    <w:rsid w:val="00AB4D85"/>
    <w:rsid w:val="00AC1559"/>
    <w:rsid w:val="00AD257F"/>
    <w:rsid w:val="00AE016A"/>
    <w:rsid w:val="00AE1CCC"/>
    <w:rsid w:val="00AE4B1C"/>
    <w:rsid w:val="00AF1C82"/>
    <w:rsid w:val="00AF58A9"/>
    <w:rsid w:val="00B30F03"/>
    <w:rsid w:val="00B31C36"/>
    <w:rsid w:val="00B46EF4"/>
    <w:rsid w:val="00B517CB"/>
    <w:rsid w:val="00B73A27"/>
    <w:rsid w:val="00B75259"/>
    <w:rsid w:val="00B770FF"/>
    <w:rsid w:val="00B8023F"/>
    <w:rsid w:val="00B80A1A"/>
    <w:rsid w:val="00B865E6"/>
    <w:rsid w:val="00B9113E"/>
    <w:rsid w:val="00B93717"/>
    <w:rsid w:val="00B95C8E"/>
    <w:rsid w:val="00BA0C9F"/>
    <w:rsid w:val="00BA262E"/>
    <w:rsid w:val="00BB27D9"/>
    <w:rsid w:val="00BB2892"/>
    <w:rsid w:val="00BB2F20"/>
    <w:rsid w:val="00BB42A8"/>
    <w:rsid w:val="00BB6972"/>
    <w:rsid w:val="00BB6CAB"/>
    <w:rsid w:val="00BB7006"/>
    <w:rsid w:val="00BC08B3"/>
    <w:rsid w:val="00BF6502"/>
    <w:rsid w:val="00C00CA4"/>
    <w:rsid w:val="00C016FE"/>
    <w:rsid w:val="00C14EBA"/>
    <w:rsid w:val="00C15B5E"/>
    <w:rsid w:val="00C22AD2"/>
    <w:rsid w:val="00C23BD8"/>
    <w:rsid w:val="00C327FE"/>
    <w:rsid w:val="00C436D5"/>
    <w:rsid w:val="00C556E9"/>
    <w:rsid w:val="00C70B93"/>
    <w:rsid w:val="00C73D51"/>
    <w:rsid w:val="00C85B2E"/>
    <w:rsid w:val="00C91A58"/>
    <w:rsid w:val="00C92E79"/>
    <w:rsid w:val="00CA7E66"/>
    <w:rsid w:val="00CD02F2"/>
    <w:rsid w:val="00CD0E58"/>
    <w:rsid w:val="00CD7936"/>
    <w:rsid w:val="00CE2A60"/>
    <w:rsid w:val="00CE2F62"/>
    <w:rsid w:val="00CE5BD6"/>
    <w:rsid w:val="00CF1503"/>
    <w:rsid w:val="00CF23A0"/>
    <w:rsid w:val="00CF4E9A"/>
    <w:rsid w:val="00D0190B"/>
    <w:rsid w:val="00D12EF2"/>
    <w:rsid w:val="00D146F3"/>
    <w:rsid w:val="00D2513E"/>
    <w:rsid w:val="00D25807"/>
    <w:rsid w:val="00D25DF8"/>
    <w:rsid w:val="00D44830"/>
    <w:rsid w:val="00D464E6"/>
    <w:rsid w:val="00D525F2"/>
    <w:rsid w:val="00D70BCD"/>
    <w:rsid w:val="00D747AA"/>
    <w:rsid w:val="00D8144B"/>
    <w:rsid w:val="00D900BC"/>
    <w:rsid w:val="00D91544"/>
    <w:rsid w:val="00D93034"/>
    <w:rsid w:val="00D951EF"/>
    <w:rsid w:val="00DA1DB6"/>
    <w:rsid w:val="00DA6AC2"/>
    <w:rsid w:val="00DB3AAB"/>
    <w:rsid w:val="00DC447F"/>
    <w:rsid w:val="00DC491D"/>
    <w:rsid w:val="00DE31BB"/>
    <w:rsid w:val="00DE5131"/>
    <w:rsid w:val="00DE6A6C"/>
    <w:rsid w:val="00DE75E1"/>
    <w:rsid w:val="00DE77F6"/>
    <w:rsid w:val="00DF5837"/>
    <w:rsid w:val="00E00F69"/>
    <w:rsid w:val="00E02091"/>
    <w:rsid w:val="00E06429"/>
    <w:rsid w:val="00E07389"/>
    <w:rsid w:val="00E11D93"/>
    <w:rsid w:val="00E14F31"/>
    <w:rsid w:val="00E16089"/>
    <w:rsid w:val="00E24D14"/>
    <w:rsid w:val="00E2579F"/>
    <w:rsid w:val="00E31727"/>
    <w:rsid w:val="00E31800"/>
    <w:rsid w:val="00E36A5D"/>
    <w:rsid w:val="00E40294"/>
    <w:rsid w:val="00E5564D"/>
    <w:rsid w:val="00E62B85"/>
    <w:rsid w:val="00E63D66"/>
    <w:rsid w:val="00E727B2"/>
    <w:rsid w:val="00E8676F"/>
    <w:rsid w:val="00E87726"/>
    <w:rsid w:val="00E9598D"/>
    <w:rsid w:val="00EA56D3"/>
    <w:rsid w:val="00EB4BDF"/>
    <w:rsid w:val="00EF2106"/>
    <w:rsid w:val="00EF5111"/>
    <w:rsid w:val="00F01233"/>
    <w:rsid w:val="00F01B24"/>
    <w:rsid w:val="00F03751"/>
    <w:rsid w:val="00F045C8"/>
    <w:rsid w:val="00F04877"/>
    <w:rsid w:val="00F11797"/>
    <w:rsid w:val="00F269E8"/>
    <w:rsid w:val="00F32E6A"/>
    <w:rsid w:val="00F33678"/>
    <w:rsid w:val="00F457DC"/>
    <w:rsid w:val="00F6625E"/>
    <w:rsid w:val="00F764E8"/>
    <w:rsid w:val="00F7721D"/>
    <w:rsid w:val="00F77609"/>
    <w:rsid w:val="00F8735D"/>
    <w:rsid w:val="00F910FD"/>
    <w:rsid w:val="00F92CF7"/>
    <w:rsid w:val="00F96684"/>
    <w:rsid w:val="00FA5268"/>
    <w:rsid w:val="00FB10AD"/>
    <w:rsid w:val="00FB67F3"/>
    <w:rsid w:val="00FC248B"/>
    <w:rsid w:val="00FC3507"/>
    <w:rsid w:val="00FC62D0"/>
    <w:rsid w:val="00FD49BF"/>
    <w:rsid w:val="00FE2708"/>
    <w:rsid w:val="00FF7C61"/>
    <w:rsid w:val="03BE2F93"/>
    <w:rsid w:val="04E6048C"/>
    <w:rsid w:val="08532D02"/>
    <w:rsid w:val="0A294834"/>
    <w:rsid w:val="0FB809C0"/>
    <w:rsid w:val="110448D3"/>
    <w:rsid w:val="1B201156"/>
    <w:rsid w:val="1CFE7CFC"/>
    <w:rsid w:val="1F78593E"/>
    <w:rsid w:val="23BC2981"/>
    <w:rsid w:val="23EC73CF"/>
    <w:rsid w:val="28AF67E0"/>
    <w:rsid w:val="29F82F90"/>
    <w:rsid w:val="2AF66386"/>
    <w:rsid w:val="35FA7477"/>
    <w:rsid w:val="3B443109"/>
    <w:rsid w:val="3FD50B26"/>
    <w:rsid w:val="470968FA"/>
    <w:rsid w:val="4A6C2377"/>
    <w:rsid w:val="4C871942"/>
    <w:rsid w:val="50EA5C57"/>
    <w:rsid w:val="52B05EF9"/>
    <w:rsid w:val="53DB794A"/>
    <w:rsid w:val="55F4578E"/>
    <w:rsid w:val="58565566"/>
    <w:rsid w:val="5B4F3C26"/>
    <w:rsid w:val="65647561"/>
    <w:rsid w:val="676872D3"/>
    <w:rsid w:val="783645F0"/>
    <w:rsid w:val="78D65CEB"/>
    <w:rsid w:val="7BD52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7"/>
    <w:unhideWhenUsed/>
    <w:qFormat/>
    <w:uiPriority w:val="99"/>
    <w:pPr>
      <w:jc w:val="left"/>
    </w:pPr>
  </w:style>
  <w:style w:type="paragraph" w:styleId="6">
    <w:name w:val="Body Text"/>
    <w:basedOn w:val="1"/>
    <w:unhideWhenUsed/>
    <w:qFormat/>
    <w:uiPriority w:val="99"/>
    <w:pPr>
      <w:spacing w:after="120"/>
    </w:pPr>
  </w:style>
  <w:style w:type="paragraph" w:styleId="7">
    <w:name w:val="toc 3"/>
    <w:basedOn w:val="1"/>
    <w:next w:val="1"/>
    <w:semiHidden/>
    <w:unhideWhenUsed/>
    <w:qFormat/>
    <w:uiPriority w:val="39"/>
    <w:pPr>
      <w:ind w:left="840" w:leftChars="400"/>
    </w:pPr>
  </w:style>
  <w:style w:type="paragraph" w:styleId="8">
    <w:name w:val="Plain Text"/>
    <w:basedOn w:val="1"/>
    <w:semiHidden/>
    <w:qFormat/>
    <w:uiPriority w:val="0"/>
    <w:rPr>
      <w:rFonts w:ascii="宋体" w:hAnsi="Courier New" w:cs="Courier New"/>
      <w:szCs w:val="21"/>
    </w:rPr>
  </w:style>
  <w:style w:type="paragraph" w:styleId="9">
    <w:name w:val="Date"/>
    <w:basedOn w:val="1"/>
    <w:next w:val="1"/>
    <w:link w:val="26"/>
    <w:semiHidden/>
    <w:unhideWhenUsed/>
    <w:qFormat/>
    <w:uiPriority w:val="99"/>
    <w:pPr>
      <w:ind w:left="100" w:leftChars="2500"/>
    </w:pPr>
  </w:style>
  <w:style w:type="paragraph" w:styleId="10">
    <w:name w:val="Balloon Text"/>
    <w:basedOn w:val="1"/>
    <w:link w:val="32"/>
    <w:semiHidden/>
    <w:unhideWhenUsed/>
    <w:qFormat/>
    <w:uiPriority w:val="99"/>
    <w:rPr>
      <w:sz w:val="18"/>
      <w:szCs w:val="18"/>
    </w:rPr>
  </w:style>
  <w:style w:type="paragraph" w:styleId="11">
    <w:name w:val="footer"/>
    <w:basedOn w:val="1"/>
    <w:link w:val="23"/>
    <w:unhideWhenUsed/>
    <w:qFormat/>
    <w:uiPriority w:val="99"/>
    <w:pPr>
      <w:tabs>
        <w:tab w:val="center" w:pos="4153"/>
        <w:tab w:val="right" w:pos="8306"/>
      </w:tabs>
      <w:snapToGrid w:val="0"/>
      <w:jc w:val="left"/>
    </w:pPr>
    <w:rPr>
      <w:sz w:val="18"/>
      <w:szCs w:val="18"/>
    </w:rPr>
  </w:style>
  <w:style w:type="paragraph" w:styleId="12">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semiHidden/>
    <w:unhideWhenUsed/>
    <w:qFormat/>
    <w:uiPriority w:val="39"/>
  </w:style>
  <w:style w:type="paragraph" w:styleId="14">
    <w:name w:val="toc 2"/>
    <w:basedOn w:val="1"/>
    <w:next w:val="1"/>
    <w:semiHidden/>
    <w:unhideWhenUsed/>
    <w:qFormat/>
    <w:uiPriority w:val="39"/>
    <w:pPr>
      <w:ind w:left="420" w:leftChars="200"/>
    </w:pPr>
  </w:style>
  <w:style w:type="paragraph" w:styleId="15">
    <w:name w:val="Normal (Web)"/>
    <w:basedOn w:val="1"/>
    <w:unhideWhenUsed/>
    <w:qFormat/>
    <w:uiPriority w:val="0"/>
    <w:pPr>
      <w:widowControl/>
      <w:spacing w:before="100" w:beforeAutospacing="1" w:after="100" w:afterAutospacing="1" w:line="384" w:lineRule="auto"/>
      <w:jc w:val="left"/>
    </w:pPr>
    <w:rPr>
      <w:rFonts w:ascii="宋体" w:hAnsi="宋体" w:cs="宋体"/>
      <w:color w:val="000000"/>
      <w:kern w:val="0"/>
      <w:sz w:val="18"/>
      <w:szCs w:val="18"/>
    </w:rPr>
  </w:style>
  <w:style w:type="paragraph" w:styleId="16">
    <w:name w:val="annotation subject"/>
    <w:basedOn w:val="5"/>
    <w:next w:val="5"/>
    <w:link w:val="28"/>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basedOn w:val="19"/>
    <w:unhideWhenUsed/>
    <w:qFormat/>
    <w:uiPriority w:val="99"/>
    <w:rPr>
      <w:sz w:val="21"/>
      <w:szCs w:val="21"/>
    </w:rPr>
  </w:style>
  <w:style w:type="character" w:customStyle="1" w:styleId="22">
    <w:name w:val="页眉 字符"/>
    <w:basedOn w:val="19"/>
    <w:link w:val="12"/>
    <w:qFormat/>
    <w:uiPriority w:val="99"/>
    <w:rPr>
      <w:sz w:val="18"/>
      <w:szCs w:val="18"/>
    </w:rPr>
  </w:style>
  <w:style w:type="character" w:customStyle="1" w:styleId="23">
    <w:name w:val="页脚 字符"/>
    <w:basedOn w:val="19"/>
    <w:link w:val="11"/>
    <w:qFormat/>
    <w:uiPriority w:val="99"/>
    <w:rPr>
      <w:sz w:val="18"/>
      <w:szCs w:val="18"/>
    </w:rPr>
  </w:style>
  <w:style w:type="paragraph" w:styleId="24">
    <w:name w:val="List Paragraph"/>
    <w:basedOn w:val="1"/>
    <w:qFormat/>
    <w:uiPriority w:val="34"/>
    <w:pPr>
      <w:ind w:firstLine="420" w:firstLineChars="200"/>
    </w:pPr>
  </w:style>
  <w:style w:type="paragraph" w:customStyle="1" w:styleId="2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character" w:customStyle="1" w:styleId="26">
    <w:name w:val="日期 字符"/>
    <w:basedOn w:val="19"/>
    <w:link w:val="9"/>
    <w:semiHidden/>
    <w:qFormat/>
    <w:uiPriority w:val="99"/>
  </w:style>
  <w:style w:type="character" w:customStyle="1" w:styleId="27">
    <w:name w:val="批注文字 字符"/>
    <w:basedOn w:val="19"/>
    <w:link w:val="5"/>
    <w:qFormat/>
    <w:uiPriority w:val="99"/>
    <w:rPr>
      <w:kern w:val="2"/>
      <w:sz w:val="21"/>
      <w:szCs w:val="22"/>
    </w:rPr>
  </w:style>
  <w:style w:type="character" w:customStyle="1" w:styleId="28">
    <w:name w:val="批注主题 字符"/>
    <w:basedOn w:val="27"/>
    <w:link w:val="16"/>
    <w:semiHidden/>
    <w:qFormat/>
    <w:uiPriority w:val="99"/>
    <w:rPr>
      <w:b/>
      <w:bCs/>
      <w:kern w:val="2"/>
      <w:sz w:val="21"/>
      <w:szCs w:val="22"/>
    </w:rPr>
  </w:style>
  <w:style w:type="paragraph" w:customStyle="1" w:styleId="29">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0">
    <w:name w:val="style41"/>
    <w:qFormat/>
    <w:uiPriority w:val="0"/>
    <w:rPr>
      <w:b/>
      <w:bCs/>
      <w:sz w:val="21"/>
      <w:szCs w:val="21"/>
    </w:rPr>
  </w:style>
  <w:style w:type="paragraph" w:customStyle="1" w:styleId="31">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2">
    <w:name w:val="批注框文本 字符"/>
    <w:basedOn w:val="19"/>
    <w:link w:val="10"/>
    <w:semiHidden/>
    <w:qFormat/>
    <w:uiPriority w:val="99"/>
    <w:rPr>
      <w:rFonts w:asciiTheme="minorHAnsi" w:hAnsiTheme="minorHAnsi" w:eastAsiaTheme="minorEastAsia" w:cstheme="minorBidi"/>
      <w:kern w:val="2"/>
      <w:sz w:val="18"/>
      <w:szCs w:val="18"/>
    </w:rPr>
  </w:style>
  <w:style w:type="paragraph" w:customStyle="1" w:styleId="33">
    <w:name w:val="章标题"/>
    <w:next w:val="1"/>
    <w:qFormat/>
    <w:uiPriority w:val="0"/>
    <w:pPr>
      <w:spacing w:beforeLines="100" w:afterLines="100"/>
      <w:jc w:val="both"/>
      <w:outlineLvl w:val="1"/>
    </w:pPr>
    <w:rPr>
      <w:rFonts w:ascii="黑体" w:hAnsi="Times New Roman" w:eastAsia="黑体" w:cs="Times New Roman"/>
      <w:sz w:val="21"/>
      <w:szCs w:val="22"/>
      <w:lang w:val="en-US" w:eastAsia="zh-CN" w:bidi="ar-SA"/>
    </w:rPr>
  </w:style>
  <w:style w:type="paragraph" w:customStyle="1" w:styleId="34">
    <w:name w:val="修订3"/>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5">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6">
    <w:name w:val="WPSOffice手动目录 1"/>
    <w:qFormat/>
    <w:uiPriority w:val="0"/>
    <w:rPr>
      <w:rFonts w:ascii="Times New Roman" w:hAnsi="Times New Roman" w:eastAsia="宋体" w:cs="Times New Roman"/>
      <w:lang w:val="en-US" w:eastAsia="zh-CN" w:bidi="ar-SA"/>
    </w:rPr>
  </w:style>
  <w:style w:type="character" w:customStyle="1" w:styleId="37">
    <w:name w:val="font31"/>
    <w:basedOn w:val="19"/>
    <w:uiPriority w:val="0"/>
    <w:rPr>
      <w:rFonts w:hint="default" w:ascii="Times New Roman" w:hAnsi="Times New Roman" w:cs="Times New Roman"/>
      <w:color w:val="000000"/>
      <w:sz w:val="21"/>
      <w:szCs w:val="21"/>
      <w:u w:val="none"/>
    </w:rPr>
  </w:style>
  <w:style w:type="character" w:customStyle="1" w:styleId="38">
    <w:name w:val="font01"/>
    <w:basedOn w:val="19"/>
    <w:uiPriority w:val="0"/>
    <w:rPr>
      <w:rFonts w:hint="eastAsia" w:ascii="宋体" w:hAnsi="宋体" w:eastAsia="宋体"/>
      <w:color w:val="000000"/>
      <w:sz w:val="21"/>
      <w:szCs w:val="21"/>
      <w:u w:val="none"/>
    </w:rPr>
  </w:style>
  <w:style w:type="paragraph" w:customStyle="1" w:styleId="39">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PanFan\Desktop\&#33500;&#34047;&#34015;&#39532;&#26631;&#20934;&#39044;&#23457;&#20250;&#25991;&#20214;\&#20462;&#25913;&#29256;&#26412;\&#20462;&#25913;&#29256;&#26412;-2022.01.27\&#21508;&#22320;&#21306;&#34015;&#39532;&#21457;&#29983;&#37327;&#25968;&#25454;(1)(1).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PanFan\Desktop\&#33500;&#34047;&#34015;&#39532;&#26631;&#20934;&#39044;&#23457;&#20250;&#25991;&#20214;\&#20462;&#25913;&#29256;&#26412;\&#20462;&#25913;&#29256;&#26412;-2022.01.27\&#21508;&#22320;&#21306;&#34015;&#39532;&#21457;&#29983;&#37327;&#25968;&#25454;(1)(1).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PanFan\Desktop\&#33500;&#34047;&#34015;&#39532;&#26631;&#20934;&#39044;&#23457;&#20250;&#25991;&#20214;\&#20462;&#25913;&#29256;&#26412;\&#20462;&#25913;&#29256;&#26412;-2022.01.27\&#21508;&#22320;&#21306;&#34015;&#39532;&#21457;&#29983;&#37327;&#25968;&#25454;(1)(1).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PanFan\Desktop\&#33500;&#34047;&#34015;&#39532;&#26631;&#20934;&#39044;&#23457;&#20250;&#25991;&#20214;\&#20462;&#25913;&#29256;&#26412;\&#20462;&#25913;&#29256;&#26412;-2022.01.27\&#21508;&#22320;&#21306;&#34015;&#39532;&#21457;&#29983;&#37327;&#25968;&#25454;(1)(1).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PanFan\Desktop\&#33500;&#34047;&#34015;&#39532;&#26631;&#20934;&#39044;&#23457;&#20250;&#25991;&#20214;\&#20462;&#25913;&#29256;&#26412;\&#20462;&#25913;&#29256;&#26412;-2022.01.27\&#21508;&#22320;&#21306;&#34015;&#39532;&#21457;&#29983;&#37327;&#25968;&#25454;(1)(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河北相关性分析!$K$2</c:f>
              <c:strCache>
                <c:ptCount val="1"/>
                <c:pt idx="0">
                  <c:v>两年平均指数</c:v>
                </c:pt>
              </c:strCache>
            </c:strRef>
          </c:tx>
          <c:spPr>
            <a:ln w="19050" cap="rnd">
              <a:noFill/>
              <a:round/>
            </a:ln>
            <a:effectLst/>
          </c:spPr>
          <c:marker>
            <c:symbol val="circle"/>
            <c:size val="5"/>
            <c:spPr>
              <a:solidFill>
                <a:schemeClr val="accent1"/>
              </a:solidFill>
              <a:ln w="9525">
                <a:solidFill>
                  <a:schemeClr val="accent1"/>
                </a:solidFill>
              </a:ln>
              <a:effectLst/>
            </c:spPr>
          </c:marker>
          <c:dLbls>
            <c:delete val="1"/>
          </c:dLbls>
          <c:trendline>
            <c:spPr>
              <a:ln w="19050" cap="rnd">
                <a:solidFill>
                  <a:schemeClr val="accent1"/>
                </a:solidFill>
                <a:prstDash val="sysDot"/>
              </a:ln>
              <a:effectLst/>
            </c:spPr>
            <c:trendlineType val="linear"/>
            <c:dispRSqr val="1"/>
            <c:dispEq val="1"/>
            <c:trendlineLbl>
              <c:layout/>
              <c:numFmt formatCode="General" sourceLinked="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trendlineLbl>
          </c:trendline>
          <c:xVal>
            <c:numRef>
              <c:f>河北相关性分析!$J$3:$J$34</c:f>
              <c:numCache>
                <c:formatCode>0_ </c:formatCode>
                <c:ptCount val="32"/>
                <c:pt idx="0">
                  <c:v>42.8</c:v>
                </c:pt>
                <c:pt idx="1">
                  <c:v>107.3</c:v>
                </c:pt>
                <c:pt idx="2">
                  <c:v>198.4</c:v>
                </c:pt>
                <c:pt idx="3">
                  <c:v>30.9</c:v>
                </c:pt>
                <c:pt idx="4">
                  <c:v>56</c:v>
                </c:pt>
                <c:pt idx="5">
                  <c:v>230.9</c:v>
                </c:pt>
                <c:pt idx="6">
                  <c:v>214.4</c:v>
                </c:pt>
                <c:pt idx="7">
                  <c:v>220.6</c:v>
                </c:pt>
                <c:pt idx="8">
                  <c:v>235.1</c:v>
                </c:pt>
                <c:pt idx="9">
                  <c:v>44.6</c:v>
                </c:pt>
                <c:pt idx="10">
                  <c:v>122.7</c:v>
                </c:pt>
                <c:pt idx="11">
                  <c:v>126.4</c:v>
                </c:pt>
                <c:pt idx="12">
                  <c:v>94.6</c:v>
                </c:pt>
                <c:pt idx="13">
                  <c:v>18.8</c:v>
                </c:pt>
                <c:pt idx="14">
                  <c:v>198.4</c:v>
                </c:pt>
                <c:pt idx="15">
                  <c:v>125.4</c:v>
                </c:pt>
                <c:pt idx="16">
                  <c:v>134.4</c:v>
                </c:pt>
                <c:pt idx="17">
                  <c:v>88.2</c:v>
                </c:pt>
                <c:pt idx="18">
                  <c:v>265.2</c:v>
                </c:pt>
                <c:pt idx="19">
                  <c:v>40.9</c:v>
                </c:pt>
                <c:pt idx="20">
                  <c:v>291.1</c:v>
                </c:pt>
                <c:pt idx="21">
                  <c:v>61.1</c:v>
                </c:pt>
                <c:pt idx="22">
                  <c:v>86.2</c:v>
                </c:pt>
                <c:pt idx="23">
                  <c:v>290.9</c:v>
                </c:pt>
                <c:pt idx="24">
                  <c:v>201.1</c:v>
                </c:pt>
                <c:pt idx="25">
                  <c:v>243.3</c:v>
                </c:pt>
                <c:pt idx="26">
                  <c:v>95.2</c:v>
                </c:pt>
                <c:pt idx="27">
                  <c:v>223</c:v>
                </c:pt>
                <c:pt idx="28">
                  <c:v>24.2</c:v>
                </c:pt>
                <c:pt idx="29">
                  <c:v>124.9</c:v>
                </c:pt>
                <c:pt idx="30">
                  <c:v>83.1</c:v>
                </c:pt>
                <c:pt idx="31">
                  <c:v>162.2</c:v>
                </c:pt>
              </c:numCache>
            </c:numRef>
          </c:xVal>
          <c:yVal>
            <c:numRef>
              <c:f>河北相关性分析!$K$3:$K$34</c:f>
              <c:numCache>
                <c:formatCode>0.00_);[Red]\(0.00\)</c:formatCode>
                <c:ptCount val="32"/>
                <c:pt idx="0">
                  <c:v>0.3</c:v>
                </c:pt>
                <c:pt idx="1">
                  <c:v>0.78</c:v>
                </c:pt>
                <c:pt idx="2">
                  <c:v>1.48</c:v>
                </c:pt>
                <c:pt idx="3">
                  <c:v>0.205</c:v>
                </c:pt>
                <c:pt idx="4">
                  <c:v>0.425</c:v>
                </c:pt>
                <c:pt idx="5">
                  <c:v>1.565</c:v>
                </c:pt>
                <c:pt idx="6">
                  <c:v>1.525</c:v>
                </c:pt>
                <c:pt idx="7">
                  <c:v>1.675</c:v>
                </c:pt>
                <c:pt idx="8">
                  <c:v>1.595</c:v>
                </c:pt>
                <c:pt idx="9">
                  <c:v>0.31</c:v>
                </c:pt>
                <c:pt idx="10">
                  <c:v>0.895</c:v>
                </c:pt>
                <c:pt idx="11">
                  <c:v>0.88</c:v>
                </c:pt>
                <c:pt idx="12">
                  <c:v>0.67</c:v>
                </c:pt>
                <c:pt idx="13">
                  <c:v>0.145</c:v>
                </c:pt>
                <c:pt idx="14">
                  <c:v>1.445</c:v>
                </c:pt>
                <c:pt idx="15">
                  <c:v>0.915</c:v>
                </c:pt>
                <c:pt idx="16">
                  <c:v>0.805</c:v>
                </c:pt>
                <c:pt idx="17">
                  <c:v>0.62</c:v>
                </c:pt>
                <c:pt idx="18">
                  <c:v>1.865</c:v>
                </c:pt>
                <c:pt idx="19">
                  <c:v>0.295</c:v>
                </c:pt>
                <c:pt idx="20">
                  <c:v>2.165</c:v>
                </c:pt>
                <c:pt idx="21">
                  <c:v>0.425</c:v>
                </c:pt>
                <c:pt idx="22">
                  <c:v>0.14</c:v>
                </c:pt>
                <c:pt idx="23">
                  <c:v>2.13</c:v>
                </c:pt>
                <c:pt idx="24">
                  <c:v>1.48</c:v>
                </c:pt>
                <c:pt idx="25">
                  <c:v>1.69</c:v>
                </c:pt>
                <c:pt idx="26">
                  <c:v>0.665</c:v>
                </c:pt>
                <c:pt idx="27">
                  <c:v>1.58</c:v>
                </c:pt>
                <c:pt idx="28">
                  <c:v>0.19</c:v>
                </c:pt>
                <c:pt idx="29">
                  <c:v>0.915</c:v>
                </c:pt>
                <c:pt idx="30">
                  <c:v>0.58</c:v>
                </c:pt>
                <c:pt idx="31">
                  <c:v>1.175</c:v>
                </c:pt>
              </c:numCache>
            </c:numRef>
          </c:yVal>
          <c:smooth val="0"/>
        </c:ser>
        <c:dLbls>
          <c:showLegendKey val="0"/>
          <c:showVal val="0"/>
          <c:showCatName val="0"/>
          <c:showSerName val="0"/>
          <c:showPercent val="0"/>
          <c:showBubbleSize val="0"/>
        </c:dLbls>
        <c:axId val="685098607"/>
        <c:axId val="685093199"/>
      </c:scatterChart>
      <c:valAx>
        <c:axId val="685098607"/>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百枝条蓟马发生量</a:t>
                </a:r>
                <a:endParaRPr lang="zh-CN" altLang="en-US"/>
              </a:p>
            </c:rich>
          </c:tx>
          <c:layout/>
          <c:overlay val="0"/>
          <c:spPr>
            <a:noFill/>
            <a:ln>
              <a:noFill/>
            </a:ln>
            <a:effectLst/>
          </c:spPr>
        </c:title>
        <c:numFmt formatCode="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5093199"/>
        <c:crosses val="autoZero"/>
        <c:crossBetween val="midCat"/>
      </c:valAx>
      <c:valAx>
        <c:axId val="685093199"/>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蓟马抗性指数</a:t>
                </a:r>
                <a:endParaRPr lang="zh-CN" altLang="en-US"/>
              </a:p>
            </c:rich>
          </c:tx>
          <c:layout/>
          <c:overlay val="0"/>
          <c:spPr>
            <a:noFill/>
            <a:ln>
              <a:noFill/>
            </a:ln>
            <a:effectLst/>
          </c:spPr>
        </c:title>
        <c:numFmt formatCode="0.00_);[Red]\(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85098607"/>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内蒙古!$G$2</c:f>
              <c:strCache>
                <c:ptCount val="1"/>
                <c:pt idx="0">
                  <c:v>两年平均指数</c:v>
                </c:pt>
              </c:strCache>
            </c:strRef>
          </c:tx>
          <c:spPr>
            <a:ln w="19050" cap="rnd">
              <a:noFill/>
              <a:round/>
            </a:ln>
            <a:effectLst/>
          </c:spPr>
          <c:marker>
            <c:symbol val="circle"/>
            <c:size val="5"/>
            <c:spPr>
              <a:solidFill>
                <a:schemeClr val="accent1"/>
              </a:solidFill>
              <a:ln w="9525">
                <a:solidFill>
                  <a:schemeClr val="accent1"/>
                </a:solidFill>
              </a:ln>
              <a:effectLst/>
            </c:spPr>
          </c:marker>
          <c:dLbls>
            <c:delete val="1"/>
          </c:dLbls>
          <c:trendline>
            <c:spPr>
              <a:ln w="19050" cap="rnd">
                <a:solidFill>
                  <a:schemeClr val="accent1"/>
                </a:solidFill>
                <a:prstDash val="sysDot"/>
              </a:ln>
              <a:effectLst/>
            </c:spPr>
            <c:trendlineType val="linear"/>
            <c:dispRSqr val="1"/>
            <c:dispEq val="1"/>
            <c:trendlineLbl>
              <c:layout/>
              <c:numFmt formatCode="General" sourceLinked="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trendlineLbl>
          </c:trendline>
          <c:xVal>
            <c:numRef>
              <c:f>内蒙古!$F$3:$F$34</c:f>
              <c:numCache>
                <c:formatCode>0_ </c:formatCode>
                <c:ptCount val="32"/>
                <c:pt idx="0">
                  <c:v>62.54</c:v>
                </c:pt>
                <c:pt idx="1">
                  <c:v>53.73</c:v>
                </c:pt>
                <c:pt idx="2">
                  <c:v>57.565</c:v>
                </c:pt>
                <c:pt idx="3">
                  <c:v>53.03</c:v>
                </c:pt>
                <c:pt idx="4">
                  <c:v>53.74</c:v>
                </c:pt>
                <c:pt idx="5">
                  <c:v>43.29</c:v>
                </c:pt>
                <c:pt idx="6">
                  <c:v>57.86</c:v>
                </c:pt>
                <c:pt idx="7">
                  <c:v>62.04</c:v>
                </c:pt>
                <c:pt idx="8">
                  <c:v>38.025</c:v>
                </c:pt>
                <c:pt idx="9">
                  <c:v>52.18</c:v>
                </c:pt>
                <c:pt idx="10">
                  <c:v>56.36</c:v>
                </c:pt>
                <c:pt idx="11">
                  <c:v>29.46</c:v>
                </c:pt>
                <c:pt idx="12">
                  <c:v>28.84</c:v>
                </c:pt>
                <c:pt idx="13">
                  <c:v>52.565</c:v>
                </c:pt>
                <c:pt idx="14">
                  <c:v>40.79</c:v>
                </c:pt>
                <c:pt idx="15">
                  <c:v>31.165</c:v>
                </c:pt>
                <c:pt idx="16">
                  <c:v>30.52</c:v>
                </c:pt>
                <c:pt idx="17">
                  <c:v>26.34</c:v>
                </c:pt>
                <c:pt idx="18">
                  <c:v>28.635</c:v>
                </c:pt>
                <c:pt idx="19">
                  <c:v>43.41</c:v>
                </c:pt>
                <c:pt idx="20">
                  <c:v>55.18</c:v>
                </c:pt>
                <c:pt idx="21">
                  <c:v>41.79</c:v>
                </c:pt>
                <c:pt idx="22">
                  <c:v>16.98</c:v>
                </c:pt>
                <c:pt idx="23">
                  <c:v>40.29</c:v>
                </c:pt>
                <c:pt idx="24">
                  <c:v>52.945</c:v>
                </c:pt>
                <c:pt idx="25">
                  <c:v>74.96</c:v>
                </c:pt>
                <c:pt idx="26">
                  <c:v>42.585</c:v>
                </c:pt>
                <c:pt idx="27">
                  <c:v>71.725</c:v>
                </c:pt>
                <c:pt idx="28">
                  <c:v>41.085</c:v>
                </c:pt>
                <c:pt idx="29">
                  <c:v>38.26</c:v>
                </c:pt>
                <c:pt idx="30">
                  <c:v>73.49</c:v>
                </c:pt>
                <c:pt idx="31">
                  <c:v>64.48</c:v>
                </c:pt>
              </c:numCache>
            </c:numRef>
          </c:xVal>
          <c:yVal>
            <c:numRef>
              <c:f>内蒙古!$G$3:$G$34</c:f>
              <c:numCache>
                <c:formatCode>0.00_);[Red]\(0.00\)</c:formatCode>
                <c:ptCount val="32"/>
                <c:pt idx="0">
                  <c:v>1.325</c:v>
                </c:pt>
                <c:pt idx="1">
                  <c:v>0.745</c:v>
                </c:pt>
                <c:pt idx="2">
                  <c:v>1.225</c:v>
                </c:pt>
                <c:pt idx="3">
                  <c:v>1.14</c:v>
                </c:pt>
                <c:pt idx="4">
                  <c:v>1.145</c:v>
                </c:pt>
                <c:pt idx="5">
                  <c:v>0.925</c:v>
                </c:pt>
                <c:pt idx="6">
                  <c:v>1.225</c:v>
                </c:pt>
                <c:pt idx="7">
                  <c:v>1.31</c:v>
                </c:pt>
                <c:pt idx="8">
                  <c:v>0.8</c:v>
                </c:pt>
                <c:pt idx="9">
                  <c:v>1.11</c:v>
                </c:pt>
                <c:pt idx="10">
                  <c:v>1.2</c:v>
                </c:pt>
                <c:pt idx="11">
                  <c:v>0.625</c:v>
                </c:pt>
                <c:pt idx="12">
                  <c:v>0.635</c:v>
                </c:pt>
                <c:pt idx="13">
                  <c:v>1.11</c:v>
                </c:pt>
                <c:pt idx="14">
                  <c:v>0.875</c:v>
                </c:pt>
                <c:pt idx="15">
                  <c:v>0.67</c:v>
                </c:pt>
                <c:pt idx="16">
                  <c:v>0.64</c:v>
                </c:pt>
                <c:pt idx="17">
                  <c:v>0.56</c:v>
                </c:pt>
                <c:pt idx="18">
                  <c:v>0.605</c:v>
                </c:pt>
                <c:pt idx="19">
                  <c:v>0.915</c:v>
                </c:pt>
                <c:pt idx="20">
                  <c:v>1.175</c:v>
                </c:pt>
                <c:pt idx="21">
                  <c:v>0.885</c:v>
                </c:pt>
                <c:pt idx="22">
                  <c:v>0.36</c:v>
                </c:pt>
                <c:pt idx="23">
                  <c:v>0.855</c:v>
                </c:pt>
                <c:pt idx="24">
                  <c:v>1.13</c:v>
                </c:pt>
                <c:pt idx="25">
                  <c:v>1.59</c:v>
                </c:pt>
                <c:pt idx="26">
                  <c:v>0.905</c:v>
                </c:pt>
                <c:pt idx="27">
                  <c:v>1.5</c:v>
                </c:pt>
                <c:pt idx="28">
                  <c:v>0.88</c:v>
                </c:pt>
                <c:pt idx="29">
                  <c:v>0.88</c:v>
                </c:pt>
                <c:pt idx="30">
                  <c:v>1.58</c:v>
                </c:pt>
                <c:pt idx="31">
                  <c:v>1.41</c:v>
                </c:pt>
              </c:numCache>
            </c:numRef>
          </c:yVal>
          <c:smooth val="0"/>
        </c:ser>
        <c:dLbls>
          <c:showLegendKey val="0"/>
          <c:showVal val="0"/>
          <c:showCatName val="0"/>
          <c:showSerName val="0"/>
          <c:showPercent val="0"/>
          <c:showBubbleSize val="0"/>
        </c:dLbls>
        <c:axId val="454202975"/>
        <c:axId val="454203807"/>
      </c:scatterChart>
      <c:valAx>
        <c:axId val="454202975"/>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百枝条蓟马发生量</a:t>
                </a:r>
                <a:endParaRPr lang="zh-CN" altLang="en-US"/>
              </a:p>
            </c:rich>
          </c:tx>
          <c:layout/>
          <c:overlay val="0"/>
          <c:spPr>
            <a:noFill/>
            <a:ln>
              <a:noFill/>
            </a:ln>
            <a:effectLst/>
          </c:spPr>
        </c:title>
        <c:numFmt formatCode="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4203807"/>
        <c:crosses val="autoZero"/>
        <c:crossBetween val="midCat"/>
      </c:valAx>
      <c:valAx>
        <c:axId val="454203807"/>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蓟马抗性指数</a:t>
                </a:r>
                <a:endParaRPr lang="zh-CN" altLang="en-US"/>
              </a:p>
            </c:rich>
          </c:tx>
          <c:layout>
            <c:manualLayout>
              <c:xMode val="edge"/>
              <c:yMode val="edge"/>
              <c:x val="0.0331325301204819"/>
              <c:y val="0.30145783790449"/>
            </c:manualLayout>
          </c:layout>
          <c:overlay val="0"/>
          <c:spPr>
            <a:noFill/>
            <a:ln>
              <a:noFill/>
            </a:ln>
            <a:effectLst/>
          </c:spPr>
        </c:title>
        <c:numFmt formatCode="0.00_);[Red]\(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54202975"/>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dLbls>
            <c:delete val="1"/>
          </c:dLbls>
          <c:trendline>
            <c:spPr>
              <a:ln w="19050" cap="rnd">
                <a:solidFill>
                  <a:schemeClr val="accent1"/>
                </a:solidFill>
                <a:prstDash val="sysDot"/>
              </a:ln>
              <a:effectLst/>
            </c:spPr>
            <c:trendlineType val="linear"/>
            <c:dispRSqr val="1"/>
            <c:dispEq val="1"/>
            <c:trendlineLbl>
              <c:layout/>
              <c:numFmt formatCode="#,##0.0000_);[Red]\(#,##0.0000\)" sourceLinked="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trendlineLbl>
          </c:trendline>
          <c:xVal>
            <c:numRef>
              <c:f>云南!$E$3:$E$34</c:f>
              <c:numCache>
                <c:formatCode>0_ </c:formatCode>
                <c:ptCount val="32"/>
                <c:pt idx="0">
                  <c:v>176.004128743461</c:v>
                </c:pt>
                <c:pt idx="1">
                  <c:v>48.5</c:v>
                </c:pt>
                <c:pt idx="2">
                  <c:v>67.0182668061283</c:v>
                </c:pt>
                <c:pt idx="3">
                  <c:v>54.1139312699827</c:v>
                </c:pt>
                <c:pt idx="4">
                  <c:v>47.0431714561403</c:v>
                </c:pt>
                <c:pt idx="5">
                  <c:v>37.2736278999068</c:v>
                </c:pt>
                <c:pt idx="6">
                  <c:v>52.7830174128876</c:v>
                </c:pt>
                <c:pt idx="7">
                  <c:v>40.1217831002352</c:v>
                </c:pt>
                <c:pt idx="8">
                  <c:v>51.1674097165262</c:v>
                </c:pt>
                <c:pt idx="9">
                  <c:v>79.8728857504265</c:v>
                </c:pt>
                <c:pt idx="10">
                  <c:v>39.8579339553858</c:v>
                </c:pt>
                <c:pt idx="11">
                  <c:v>66.851122124183</c:v>
                </c:pt>
                <c:pt idx="12">
                  <c:v>50.8719183798577</c:v>
                </c:pt>
                <c:pt idx="13">
                  <c:v>51.3721964074074</c:v>
                </c:pt>
                <c:pt idx="14">
                  <c:v>54.1249199454191</c:v>
                </c:pt>
                <c:pt idx="15">
                  <c:v>52.8665912252534</c:v>
                </c:pt>
                <c:pt idx="16">
                  <c:v>53.1558310142022</c:v>
                </c:pt>
                <c:pt idx="17">
                  <c:v>53.5017627</c:v>
                </c:pt>
                <c:pt idx="18">
                  <c:v>78.6971997908249</c:v>
                </c:pt>
                <c:pt idx="19">
                  <c:v>51.2116925959097</c:v>
                </c:pt>
                <c:pt idx="20">
                  <c:v>52.9876149304634</c:v>
                </c:pt>
                <c:pt idx="21">
                  <c:v>51.283936536331</c:v>
                </c:pt>
                <c:pt idx="22">
                  <c:v>36.3678738037037</c:v>
                </c:pt>
                <c:pt idx="23">
                  <c:v>38.2542107931594</c:v>
                </c:pt>
                <c:pt idx="24">
                  <c:v>50.4248631141217</c:v>
                </c:pt>
                <c:pt idx="25">
                  <c:v>42.420978058005</c:v>
                </c:pt>
                <c:pt idx="26">
                  <c:v>45.3741883740601</c:v>
                </c:pt>
                <c:pt idx="27">
                  <c:v>119.577472743158</c:v>
                </c:pt>
                <c:pt idx="28">
                  <c:v>69.590517800934</c:v>
                </c:pt>
                <c:pt idx="29">
                  <c:v>40.0153079184704</c:v>
                </c:pt>
                <c:pt idx="30">
                  <c:v>50.2079074713157</c:v>
                </c:pt>
                <c:pt idx="31">
                  <c:v>67.2830521514161</c:v>
                </c:pt>
              </c:numCache>
            </c:numRef>
          </c:xVal>
          <c:yVal>
            <c:numRef>
              <c:f>云南!$F$3:$F$34</c:f>
              <c:numCache>
                <c:formatCode>0.00_ </c:formatCode>
                <c:ptCount val="32"/>
                <c:pt idx="0">
                  <c:v>3.2</c:v>
                </c:pt>
                <c:pt idx="1">
                  <c:v>0.845</c:v>
                </c:pt>
                <c:pt idx="2">
                  <c:v>1.12</c:v>
                </c:pt>
                <c:pt idx="3">
                  <c:v>0.925</c:v>
                </c:pt>
                <c:pt idx="4">
                  <c:v>0.81</c:v>
                </c:pt>
                <c:pt idx="5">
                  <c:v>0.62</c:v>
                </c:pt>
                <c:pt idx="6">
                  <c:v>0.9</c:v>
                </c:pt>
                <c:pt idx="7">
                  <c:v>0.695</c:v>
                </c:pt>
                <c:pt idx="8">
                  <c:v>0.835</c:v>
                </c:pt>
                <c:pt idx="9">
                  <c:v>1.34</c:v>
                </c:pt>
                <c:pt idx="10">
                  <c:v>0.675</c:v>
                </c:pt>
                <c:pt idx="11">
                  <c:v>1.125</c:v>
                </c:pt>
                <c:pt idx="12">
                  <c:v>0.825</c:v>
                </c:pt>
                <c:pt idx="13">
                  <c:v>0.88</c:v>
                </c:pt>
                <c:pt idx="14">
                  <c:v>0.91</c:v>
                </c:pt>
                <c:pt idx="15">
                  <c:v>0.86</c:v>
                </c:pt>
                <c:pt idx="16">
                  <c:v>0.885</c:v>
                </c:pt>
                <c:pt idx="17">
                  <c:v>0.89</c:v>
                </c:pt>
                <c:pt idx="18">
                  <c:v>1.305</c:v>
                </c:pt>
                <c:pt idx="19">
                  <c:v>0.835</c:v>
                </c:pt>
                <c:pt idx="20">
                  <c:v>0.905</c:v>
                </c:pt>
                <c:pt idx="21">
                  <c:v>0.88</c:v>
                </c:pt>
                <c:pt idx="22">
                  <c:v>0.61</c:v>
                </c:pt>
                <c:pt idx="23">
                  <c:v>0.655</c:v>
                </c:pt>
                <c:pt idx="24">
                  <c:v>0.895</c:v>
                </c:pt>
                <c:pt idx="25">
                  <c:v>0.64</c:v>
                </c:pt>
                <c:pt idx="26">
                  <c:v>0.73</c:v>
                </c:pt>
                <c:pt idx="27">
                  <c:v>2.05</c:v>
                </c:pt>
                <c:pt idx="28">
                  <c:v>1.205</c:v>
                </c:pt>
                <c:pt idx="29">
                  <c:v>0.67</c:v>
                </c:pt>
                <c:pt idx="30">
                  <c:v>0.835</c:v>
                </c:pt>
                <c:pt idx="31">
                  <c:v>1.165</c:v>
                </c:pt>
              </c:numCache>
            </c:numRef>
          </c:yVal>
          <c:smooth val="0"/>
        </c:ser>
        <c:dLbls>
          <c:showLegendKey val="0"/>
          <c:showVal val="0"/>
          <c:showCatName val="0"/>
          <c:showSerName val="0"/>
          <c:showPercent val="0"/>
          <c:showBubbleSize val="0"/>
        </c:dLbls>
        <c:axId val="1887354128"/>
        <c:axId val="1887346224"/>
      </c:scatterChart>
      <c:valAx>
        <c:axId val="18873541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百枝条蓟马发生量</a:t>
                </a:r>
                <a:endParaRPr lang="zh-CN" altLang="en-US"/>
              </a:p>
            </c:rich>
          </c:tx>
          <c:layout/>
          <c:overlay val="0"/>
          <c:spPr>
            <a:noFill/>
            <a:ln>
              <a:noFill/>
            </a:ln>
            <a:effectLst/>
          </c:spPr>
        </c:title>
        <c:numFmt formatCode="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887346224"/>
        <c:crosses val="autoZero"/>
        <c:crossBetween val="midCat"/>
      </c:valAx>
      <c:valAx>
        <c:axId val="18873462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蓟马抗性指数</a:t>
                </a:r>
                <a:endParaRPr lang="zh-CN" altLang="en-US"/>
              </a:p>
            </c:rich>
          </c:tx>
          <c:layout/>
          <c:overlay val="0"/>
          <c:spPr>
            <a:noFill/>
            <a:ln>
              <a:noFill/>
            </a:ln>
            <a:effectLst/>
          </c:spPr>
        </c:title>
        <c:numFmt formatCode="0.0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88735412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宁夏!$D$2</c:f>
              <c:strCache>
                <c:ptCount val="1"/>
                <c:pt idx="0">
                  <c:v>抗性指数</c:v>
                </c:pt>
              </c:strCache>
            </c:strRef>
          </c:tx>
          <c:spPr>
            <a:ln w="19050" cap="rnd">
              <a:noFill/>
              <a:round/>
            </a:ln>
            <a:effectLst/>
          </c:spPr>
          <c:marker>
            <c:symbol val="circle"/>
            <c:size val="5"/>
            <c:spPr>
              <a:solidFill>
                <a:schemeClr val="accent1"/>
              </a:solidFill>
              <a:ln w="9525">
                <a:solidFill>
                  <a:schemeClr val="accent1"/>
                </a:solidFill>
              </a:ln>
              <a:effectLst/>
            </c:spPr>
          </c:marker>
          <c:dLbls>
            <c:delete val="1"/>
          </c:dLbls>
          <c:trendline>
            <c:spPr>
              <a:ln w="19050" cap="rnd">
                <a:solidFill>
                  <a:schemeClr val="accent1"/>
                </a:solidFill>
                <a:prstDash val="sysDot"/>
              </a:ln>
              <a:effectLst/>
            </c:spPr>
            <c:trendlineType val="linear"/>
            <c:dispRSqr val="1"/>
            <c:dispEq val="1"/>
            <c:trendlineLbl>
              <c:layout/>
              <c:numFmt formatCode="General" sourceLinked="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trendlineLbl>
          </c:trendline>
          <c:trendline>
            <c:spPr>
              <a:ln w="19050" cap="rnd">
                <a:solidFill>
                  <a:schemeClr val="accent1"/>
                </a:solidFill>
                <a:prstDash val="sysDot"/>
              </a:ln>
              <a:effectLst/>
            </c:spPr>
            <c:trendlineType val="linear"/>
            <c:dispRSqr val="0"/>
            <c:dispEq val="0"/>
          </c:trendline>
          <c:xVal>
            <c:numRef>
              <c:f>宁夏!$C$3:$C$34</c:f>
              <c:numCache>
                <c:formatCode>0_ </c:formatCode>
                <c:ptCount val="32"/>
                <c:pt idx="0">
                  <c:v>65</c:v>
                </c:pt>
                <c:pt idx="1">
                  <c:v>60.84</c:v>
                </c:pt>
                <c:pt idx="2">
                  <c:v>115</c:v>
                </c:pt>
                <c:pt idx="3">
                  <c:v>59</c:v>
                </c:pt>
                <c:pt idx="4">
                  <c:v>87.36</c:v>
                </c:pt>
                <c:pt idx="5">
                  <c:v>82.68</c:v>
                </c:pt>
                <c:pt idx="6">
                  <c:v>42.12</c:v>
                </c:pt>
                <c:pt idx="7">
                  <c:v>56.16</c:v>
                </c:pt>
                <c:pt idx="8">
                  <c:v>58.5</c:v>
                </c:pt>
                <c:pt idx="9">
                  <c:v>55</c:v>
                </c:pt>
                <c:pt idx="10">
                  <c:v>33</c:v>
                </c:pt>
                <c:pt idx="11">
                  <c:v>81</c:v>
                </c:pt>
                <c:pt idx="12">
                  <c:v>64</c:v>
                </c:pt>
                <c:pt idx="13">
                  <c:v>57</c:v>
                </c:pt>
                <c:pt idx="14">
                  <c:v>116</c:v>
                </c:pt>
                <c:pt idx="15">
                  <c:v>136</c:v>
                </c:pt>
                <c:pt idx="16">
                  <c:v>90</c:v>
                </c:pt>
                <c:pt idx="17">
                  <c:v>60</c:v>
                </c:pt>
                <c:pt idx="18">
                  <c:v>94</c:v>
                </c:pt>
                <c:pt idx="19">
                  <c:v>118</c:v>
                </c:pt>
                <c:pt idx="20">
                  <c:v>78</c:v>
                </c:pt>
                <c:pt idx="21">
                  <c:v>71</c:v>
                </c:pt>
                <c:pt idx="22">
                  <c:v>108</c:v>
                </c:pt>
                <c:pt idx="23">
                  <c:v>48</c:v>
                </c:pt>
                <c:pt idx="24">
                  <c:v>100</c:v>
                </c:pt>
                <c:pt idx="25">
                  <c:v>121</c:v>
                </c:pt>
                <c:pt idx="26">
                  <c:v>45</c:v>
                </c:pt>
                <c:pt idx="27">
                  <c:v>49</c:v>
                </c:pt>
                <c:pt idx="28">
                  <c:v>115</c:v>
                </c:pt>
                <c:pt idx="29">
                  <c:v>37</c:v>
                </c:pt>
                <c:pt idx="30">
                  <c:v>163</c:v>
                </c:pt>
                <c:pt idx="31">
                  <c:v>34</c:v>
                </c:pt>
              </c:numCache>
            </c:numRef>
          </c:xVal>
          <c:yVal>
            <c:numRef>
              <c:f>宁夏!$D$3:$D$34</c:f>
              <c:numCache>
                <c:formatCode>General</c:formatCode>
                <c:ptCount val="32"/>
                <c:pt idx="0">
                  <c:v>0.83</c:v>
                </c:pt>
                <c:pt idx="1">
                  <c:v>0.78</c:v>
                </c:pt>
                <c:pt idx="2">
                  <c:v>1.48</c:v>
                </c:pt>
                <c:pt idx="3">
                  <c:v>0.75</c:v>
                </c:pt>
                <c:pt idx="4">
                  <c:v>1.12</c:v>
                </c:pt>
                <c:pt idx="5">
                  <c:v>1.06</c:v>
                </c:pt>
                <c:pt idx="6">
                  <c:v>0.54</c:v>
                </c:pt>
                <c:pt idx="7">
                  <c:v>0.72</c:v>
                </c:pt>
                <c:pt idx="8">
                  <c:v>0.75</c:v>
                </c:pt>
                <c:pt idx="9">
                  <c:v>0.72</c:v>
                </c:pt>
                <c:pt idx="10">
                  <c:v>0.43</c:v>
                </c:pt>
                <c:pt idx="11">
                  <c:v>1.04</c:v>
                </c:pt>
                <c:pt idx="12">
                  <c:v>0.83</c:v>
                </c:pt>
                <c:pt idx="13">
                  <c:v>0.74</c:v>
                </c:pt>
                <c:pt idx="14">
                  <c:v>1.51</c:v>
                </c:pt>
                <c:pt idx="15">
                  <c:v>1.77</c:v>
                </c:pt>
                <c:pt idx="16">
                  <c:v>1.16</c:v>
                </c:pt>
                <c:pt idx="17">
                  <c:v>0.78</c:v>
                </c:pt>
                <c:pt idx="18">
                  <c:v>1.21</c:v>
                </c:pt>
                <c:pt idx="19">
                  <c:v>1.53</c:v>
                </c:pt>
                <c:pt idx="20">
                  <c:v>1.01</c:v>
                </c:pt>
                <c:pt idx="21">
                  <c:v>0.92</c:v>
                </c:pt>
                <c:pt idx="22">
                  <c:v>1.4</c:v>
                </c:pt>
                <c:pt idx="23">
                  <c:v>0.63</c:v>
                </c:pt>
                <c:pt idx="24">
                  <c:v>1.29</c:v>
                </c:pt>
                <c:pt idx="25">
                  <c:v>1.57</c:v>
                </c:pt>
                <c:pt idx="26">
                  <c:v>0.6</c:v>
                </c:pt>
                <c:pt idx="27">
                  <c:v>0.66</c:v>
                </c:pt>
                <c:pt idx="28">
                  <c:v>1.5</c:v>
                </c:pt>
                <c:pt idx="29">
                  <c:v>0.5</c:v>
                </c:pt>
                <c:pt idx="30">
                  <c:v>2.11</c:v>
                </c:pt>
                <c:pt idx="31">
                  <c:v>0.46</c:v>
                </c:pt>
              </c:numCache>
            </c:numRef>
          </c:yVal>
          <c:smooth val="0"/>
        </c:ser>
        <c:dLbls>
          <c:showLegendKey val="0"/>
          <c:showVal val="0"/>
          <c:showCatName val="0"/>
          <c:showSerName val="0"/>
          <c:showPercent val="0"/>
          <c:showBubbleSize val="0"/>
        </c:dLbls>
        <c:axId val="582301695"/>
        <c:axId val="582302943"/>
      </c:scatterChart>
      <c:valAx>
        <c:axId val="582301695"/>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百枝条蓟马发生量</a:t>
                </a:r>
                <a:endParaRPr lang="zh-CN" altLang="en-US"/>
              </a:p>
            </c:rich>
          </c:tx>
          <c:layout/>
          <c:overlay val="0"/>
          <c:spPr>
            <a:noFill/>
            <a:ln>
              <a:noFill/>
            </a:ln>
            <a:effectLst/>
          </c:spPr>
        </c:title>
        <c:numFmt formatCode="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82302943"/>
        <c:crosses val="autoZero"/>
        <c:crossBetween val="midCat"/>
      </c:valAx>
      <c:valAx>
        <c:axId val="582302943"/>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蓟马抗性指数</a:t>
                </a:r>
                <a:endParaRPr lang="zh-CN" altLang="en-US"/>
              </a:p>
            </c:rich>
          </c:tx>
          <c:layout>
            <c:manualLayout>
              <c:xMode val="edge"/>
              <c:yMode val="edge"/>
              <c:x val="0.0301204819277108"/>
              <c:y val="0.28905544756696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82301695"/>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新疆!$E$2</c:f>
              <c:strCache>
                <c:ptCount val="1"/>
                <c:pt idx="0">
                  <c:v>抗性指数</c:v>
                </c:pt>
              </c:strCache>
            </c:strRef>
          </c:tx>
          <c:spPr>
            <a:ln w="19050" cap="rnd">
              <a:noFill/>
              <a:round/>
            </a:ln>
            <a:effectLst/>
          </c:spPr>
          <c:marker>
            <c:symbol val="circle"/>
            <c:size val="5"/>
            <c:spPr>
              <a:solidFill>
                <a:schemeClr val="accent1"/>
              </a:solidFill>
              <a:ln w="9525">
                <a:solidFill>
                  <a:schemeClr val="accent1"/>
                </a:solidFill>
              </a:ln>
              <a:effectLst/>
            </c:spPr>
          </c:marker>
          <c:dLbls>
            <c:delete val="1"/>
          </c:dLbls>
          <c:trendline>
            <c:spPr>
              <a:ln w="19050" cap="rnd">
                <a:solidFill>
                  <a:schemeClr val="accent1"/>
                </a:solidFill>
                <a:prstDash val="sysDot"/>
              </a:ln>
              <a:effectLst/>
            </c:spPr>
            <c:trendlineType val="linear"/>
            <c:dispRSqr val="1"/>
            <c:dispEq val="1"/>
            <c:trendlineLbl>
              <c:layout/>
              <c:tx>
                <c:rich>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r>
                      <a:rPr lang="en-US" altLang="zh-CN" baseline="0"/>
                      <a:t>y = 0.0042x - 0.0001</a:t>
                    </a:r>
                    <a:br>
                      <a:rPr lang="en-US" altLang="zh-CN" baseline="0"/>
                    </a:br>
                    <a:r>
                      <a:rPr lang="en-US" altLang="zh-CN" baseline="0"/>
                      <a:t>R² = 0.9999</a:t>
                    </a:r>
                    <a:endParaRPr lang="en-US" altLang="zh-CN"/>
                  </a:p>
                </c:rich>
              </c:tx>
              <c:numFmt formatCode="General" sourceLinked="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trendlineLbl>
          </c:trendline>
          <c:xVal>
            <c:numRef>
              <c:f>新疆!$D$3:$D$34</c:f>
              <c:numCache>
                <c:formatCode>0_ </c:formatCode>
                <c:ptCount val="32"/>
                <c:pt idx="0">
                  <c:v>253</c:v>
                </c:pt>
                <c:pt idx="1">
                  <c:v>204</c:v>
                </c:pt>
                <c:pt idx="2">
                  <c:v>247.2</c:v>
                </c:pt>
                <c:pt idx="3">
                  <c:v>232.8</c:v>
                </c:pt>
                <c:pt idx="4">
                  <c:v>225.6</c:v>
                </c:pt>
                <c:pt idx="5">
                  <c:v>177.6</c:v>
                </c:pt>
                <c:pt idx="6">
                  <c:v>199.2</c:v>
                </c:pt>
                <c:pt idx="7">
                  <c:v>196.8</c:v>
                </c:pt>
                <c:pt idx="8">
                  <c:v>223.2</c:v>
                </c:pt>
                <c:pt idx="9">
                  <c:v>232.8</c:v>
                </c:pt>
                <c:pt idx="10">
                  <c:v>141.6</c:v>
                </c:pt>
                <c:pt idx="11">
                  <c:v>223.2</c:v>
                </c:pt>
                <c:pt idx="12">
                  <c:v>321.6</c:v>
                </c:pt>
                <c:pt idx="13">
                  <c:v>252</c:v>
                </c:pt>
                <c:pt idx="14">
                  <c:v>465.6</c:v>
                </c:pt>
                <c:pt idx="15">
                  <c:v>242.4</c:v>
                </c:pt>
                <c:pt idx="16">
                  <c:v>249.6</c:v>
                </c:pt>
                <c:pt idx="17">
                  <c:v>273.6</c:v>
                </c:pt>
                <c:pt idx="18">
                  <c:v>175.2</c:v>
                </c:pt>
                <c:pt idx="19">
                  <c:v>249.6</c:v>
                </c:pt>
                <c:pt idx="20">
                  <c:v>117.6</c:v>
                </c:pt>
                <c:pt idx="21">
                  <c:v>213.6</c:v>
                </c:pt>
                <c:pt idx="22">
                  <c:v>177.6</c:v>
                </c:pt>
                <c:pt idx="23">
                  <c:v>218.4</c:v>
                </c:pt>
                <c:pt idx="24">
                  <c:v>280.8</c:v>
                </c:pt>
                <c:pt idx="25">
                  <c:v>268.8</c:v>
                </c:pt>
                <c:pt idx="26">
                  <c:v>338.4</c:v>
                </c:pt>
                <c:pt idx="27">
                  <c:v>326.4</c:v>
                </c:pt>
                <c:pt idx="28">
                  <c:v>228</c:v>
                </c:pt>
                <c:pt idx="29">
                  <c:v>280.8</c:v>
                </c:pt>
                <c:pt idx="30">
                  <c:v>196.8</c:v>
                </c:pt>
                <c:pt idx="31">
                  <c:v>117.6</c:v>
                </c:pt>
              </c:numCache>
            </c:numRef>
          </c:xVal>
          <c:yVal>
            <c:numRef>
              <c:f>新疆!$E$3:$E$34</c:f>
              <c:numCache>
                <c:formatCode>General</c:formatCode>
                <c:ptCount val="32"/>
                <c:pt idx="0">
                  <c:v>1.06</c:v>
                </c:pt>
                <c:pt idx="1">
                  <c:v>0.85</c:v>
                </c:pt>
                <c:pt idx="2">
                  <c:v>1.03</c:v>
                </c:pt>
                <c:pt idx="3">
                  <c:v>0.97</c:v>
                </c:pt>
                <c:pt idx="4">
                  <c:v>0.94</c:v>
                </c:pt>
                <c:pt idx="5">
                  <c:v>0.74</c:v>
                </c:pt>
                <c:pt idx="6">
                  <c:v>0.83</c:v>
                </c:pt>
                <c:pt idx="7">
                  <c:v>0.82</c:v>
                </c:pt>
                <c:pt idx="8">
                  <c:v>0.93</c:v>
                </c:pt>
                <c:pt idx="9">
                  <c:v>0.97</c:v>
                </c:pt>
                <c:pt idx="10">
                  <c:v>0.59</c:v>
                </c:pt>
                <c:pt idx="11">
                  <c:v>0.93</c:v>
                </c:pt>
                <c:pt idx="12">
                  <c:v>1.34</c:v>
                </c:pt>
                <c:pt idx="13">
                  <c:v>1.05</c:v>
                </c:pt>
                <c:pt idx="14">
                  <c:v>1.94</c:v>
                </c:pt>
                <c:pt idx="15">
                  <c:v>1.01</c:v>
                </c:pt>
                <c:pt idx="16">
                  <c:v>1.04</c:v>
                </c:pt>
                <c:pt idx="17">
                  <c:v>1.14</c:v>
                </c:pt>
                <c:pt idx="18">
                  <c:v>0.73</c:v>
                </c:pt>
                <c:pt idx="19">
                  <c:v>1.04</c:v>
                </c:pt>
                <c:pt idx="20">
                  <c:v>0.49</c:v>
                </c:pt>
                <c:pt idx="21">
                  <c:v>0.89</c:v>
                </c:pt>
                <c:pt idx="22">
                  <c:v>0.74</c:v>
                </c:pt>
                <c:pt idx="23">
                  <c:v>0.91</c:v>
                </c:pt>
                <c:pt idx="24">
                  <c:v>1.17</c:v>
                </c:pt>
                <c:pt idx="25">
                  <c:v>1.12</c:v>
                </c:pt>
                <c:pt idx="26">
                  <c:v>1.41</c:v>
                </c:pt>
                <c:pt idx="27">
                  <c:v>1.36</c:v>
                </c:pt>
                <c:pt idx="28">
                  <c:v>0.95</c:v>
                </c:pt>
                <c:pt idx="29">
                  <c:v>1.17</c:v>
                </c:pt>
                <c:pt idx="30">
                  <c:v>0.82</c:v>
                </c:pt>
                <c:pt idx="31">
                  <c:v>0.49</c:v>
                </c:pt>
              </c:numCache>
            </c:numRef>
          </c:yVal>
          <c:smooth val="0"/>
        </c:ser>
        <c:dLbls>
          <c:showLegendKey val="0"/>
          <c:showVal val="0"/>
          <c:showCatName val="0"/>
          <c:showSerName val="0"/>
          <c:showPercent val="0"/>
          <c:showBubbleSize val="0"/>
        </c:dLbls>
        <c:axId val="1746366432"/>
        <c:axId val="1746366848"/>
      </c:scatterChart>
      <c:valAx>
        <c:axId val="17463664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百枝条蓟马发生量</a:t>
                </a:r>
                <a:endParaRPr lang="zh-CN" altLang="en-US"/>
              </a:p>
            </c:rich>
          </c:tx>
          <c:layout/>
          <c:overlay val="0"/>
          <c:spPr>
            <a:noFill/>
            <a:ln>
              <a:noFill/>
            </a:ln>
            <a:effectLst/>
          </c:spPr>
        </c:title>
        <c:numFmt formatCode="0_ "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46366848"/>
        <c:crosses val="autoZero"/>
        <c:crossBetween val="midCat"/>
      </c:valAx>
      <c:valAx>
        <c:axId val="17463668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r>
                  <a:rPr lang="zh-CN" altLang="en-US"/>
                  <a:t>蓟马抗性指数</a:t>
                </a:r>
                <a:endParaRPr lang="zh-CN" altLang="en-US"/>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74636643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C3933A-36AE-47F0-8619-3844F1AA8CE5}">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34</Pages>
  <Words>11303</Words>
  <Characters>12858</Characters>
  <Lines>108</Lines>
  <Paragraphs>30</Paragraphs>
  <TotalTime>16</TotalTime>
  <ScaleCrop>false</ScaleCrop>
  <LinksUpToDate>false</LinksUpToDate>
  <CharactersWithSpaces>13204</CharactersWithSpaces>
  <Application>WPS Office_11.1.0.11805_F1E327BC-269C-435d-A152-05C5408002CA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2022-05-07T08:53:00Z</dcterms:created>
  <dc:creator>Pan Fan</dc:creator>
  <cp:lastModifiedBy>WPL</cp:lastModifiedBy>
  <cp:lastPrinted>2022-06-08T02:00:18Z</cp:lastPrinted>
  <dcterms:modified xsi:type="dcterms:W3CDTF">2022-06-08T02:00:26Z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2052-11.1.0.11805</vt:lpwstr>
  </property>
  <property fmtid="{D5CDD505-2E9C-101B-9397-08002B2CF9AE}" pid="3" name="ICV">
    <vt:lpwstr>97421B7494564E3A8E406B38DD0966AD</vt:lpwstr>
  </property>
  <property fmtid="{D5CDD505-2E9C-101B-9397-08002B2CF9AE}" pid="4" name="commondata">
    <vt:lpwstr>eyJoZGlkIjoiYWQyNTg4ZmM4MThmODIzMDMxY2MyNTUwZDRkMjQ2ZWUifQ==</vt:lpwstr>
  </property>
</Properties>
</file>